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atLeast"/>
        <w:jc w:val="distribute"/>
        <w:rPr>
          <w:rFonts w:eastAsia="方正小标宋简体" w:cs="Times New Roman"/>
          <w:color w:val="FF0000"/>
          <w:sz w:val="90"/>
          <w:szCs w:val="90"/>
        </w:rPr>
      </w:pPr>
      <w:r>
        <w:rPr>
          <w:rFonts w:eastAsia="方正小标宋简体" w:cs="Times New Roman"/>
          <w:color w:val="FF0000"/>
          <w:sz w:val="90"/>
          <w:szCs w:val="90"/>
        </w:rPr>
        <w:t>中山大学教务部</w:t>
      </w:r>
    </w:p>
    <w:p>
      <w:pPr>
        <w:rPr>
          <w:rFonts w:cs="Times New Roman"/>
        </w:rPr>
      </w:pPr>
      <w:r>
        <w:rPr>
          <w:rFonts w:cs="Times New Roman"/>
        </w:rPr>
        <mc:AlternateContent>
          <mc:Choice Requires="wpg">
            <w:drawing>
              <wp:anchor distT="0" distB="0" distL="114300" distR="114300" simplePos="0" relativeHeight="251659264" behindDoc="0" locked="0" layoutInCell="1" allowOverlap="1">
                <wp:simplePos x="0" y="0"/>
                <wp:positionH relativeFrom="column">
                  <wp:posOffset>-229870</wp:posOffset>
                </wp:positionH>
                <wp:positionV relativeFrom="paragraph">
                  <wp:posOffset>5080</wp:posOffset>
                </wp:positionV>
                <wp:extent cx="6155055" cy="50800"/>
                <wp:effectExtent l="0" t="19050" r="17145" b="6350"/>
                <wp:wrapNone/>
                <wp:docPr id="1" name="组合 1"/>
                <wp:cNvGraphicFramePr/>
                <a:graphic xmlns:a="http://schemas.openxmlformats.org/drawingml/2006/main">
                  <a:graphicData uri="http://schemas.microsoft.com/office/word/2010/wordprocessingGroup">
                    <wpg:wgp>
                      <wpg:cNvGrpSpPr/>
                      <wpg:grpSpPr>
                        <a:xfrm>
                          <a:off x="0" y="0"/>
                          <a:ext cx="6155055" cy="50800"/>
                          <a:chOff x="1238" y="3498"/>
                          <a:chExt cx="9693" cy="80"/>
                        </a:xfrm>
                      </wpg:grpSpPr>
                      <wps:wsp>
                        <wps:cNvPr id="2" name="Line 3"/>
                        <wps:cNvCnPr>
                          <a:cxnSpLocks noChangeShapeType="1"/>
                        </wps:cNvCnPr>
                        <wps:spPr bwMode="auto">
                          <a:xfrm>
                            <a:off x="1238" y="3498"/>
                            <a:ext cx="9693" cy="0"/>
                          </a:xfrm>
                          <a:prstGeom prst="line">
                            <a:avLst/>
                          </a:prstGeom>
                          <a:noFill/>
                          <a:ln w="28575">
                            <a:solidFill>
                              <a:srgbClr val="FF0000"/>
                            </a:solidFill>
                            <a:round/>
                          </a:ln>
                        </wps:spPr>
                        <wps:bodyPr/>
                      </wps:wsp>
                      <wps:wsp>
                        <wps:cNvPr id="3" name="Line 4"/>
                        <wps:cNvCnPr>
                          <a:cxnSpLocks noChangeShapeType="1"/>
                        </wps:cNvCnPr>
                        <wps:spPr bwMode="auto">
                          <a:xfrm>
                            <a:off x="1238" y="3578"/>
                            <a:ext cx="9693" cy="0"/>
                          </a:xfrm>
                          <a:prstGeom prst="line">
                            <a:avLst/>
                          </a:prstGeom>
                          <a:noFill/>
                          <a:ln w="9525">
                            <a:solidFill>
                              <a:srgbClr val="FF0000"/>
                            </a:solidFill>
                            <a:round/>
                          </a:ln>
                        </wps:spPr>
                        <wps:bodyPr/>
                      </wps:wsp>
                    </wpg:wgp>
                  </a:graphicData>
                </a:graphic>
              </wp:anchor>
            </w:drawing>
          </mc:Choice>
          <mc:Fallback>
            <w:pict>
              <v:group id="_x0000_s1026" o:spid="_x0000_s1026" o:spt="203" style="position:absolute;left:0pt;margin-left:-18.1pt;margin-top:0.4pt;height:4pt;width:484.65pt;z-index:251659264;mso-width-relative:page;mso-height-relative:page;" coordorigin="1238,3498" coordsize="9693,80" o:gfxdata="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l2Fa7WAAAABgEAAA8AAAAAAAAAAQAgAAAAIgAAAGRycy9kb3ducmV2LnhtbFBLAQIUABQAAAAI&#10;AIdO4kC3Kb3lYQIAAJQGAAAOAAAAAAAAAAEAIAAAACUBAABkcnMvZTJvRG9jLnhtbFBLBQYAAAAA&#10;BgAGAFkBAAD4BQAAAAA=&#10;">
                <o:lock v:ext="edit" aspectratio="f"/>
                <v:line id="Line 3" o:spid="_x0000_s1026" o:spt="20" style="position:absolute;left:1238;top:3498;height:0;width:9693;" filled="f" stroked="t" coordsize="21600,21600" o:gfxdata="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ravMvQAA&#10;ANoAAAAPAAAAAAAAAAEAIAAAACIAAABkcnMvZG93bnJldi54bWxQSwECFAAUAAAACACHTuJAMy8F&#10;njsAAAA5AAAAEAAAAAAAAAABACAAAAAMAQAAZHJzL3NoYXBleG1sLnhtbFBLBQYAAAAABgAGAFsB&#10;AAC2AwAAAAA=&#10;">
                  <v:fill on="f" focussize="0,0"/>
                  <v:stroke weight="2.25pt" color="#FF0000" joinstyle="round"/>
                  <v:imagedata o:title=""/>
                  <o:lock v:ext="edit" aspectratio="f"/>
                </v:line>
                <v:line id="Line 4" o:spid="_x0000_s1026" o:spt="20" style="position:absolute;left:1238;top:3578;height:0;width:9693;" filled="f" stroked="t" coordsize="21600,21600" o:gfxdata="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BMWi8AAAA&#10;2gAAAA8AAAAAAAAAAQAgAAAAIgAAAGRycy9kb3ducmV2LnhtbFBLAQIUABQAAAAIAIdO4kAzLwWe&#10;OwAAADkAAAAQAAAAAAAAAAEAIAAAAAsBAABkcnMvc2hhcGV4bWwueG1sUEsFBgAAAAAGAAYAWwEA&#10;ALUDAAAAAA==&#10;">
                  <v:fill on="f" focussize="0,0"/>
                  <v:stroke color="#FF0000" joinstyle="round"/>
                  <v:imagedata o:title=""/>
                  <o:lock v:ext="edit" aspectratio="f"/>
                </v:line>
              </v:group>
            </w:pict>
          </mc:Fallback>
        </mc:AlternateContent>
      </w:r>
    </w:p>
    <w:p>
      <w:pPr>
        <w:wordWrap w:val="0"/>
        <w:spacing w:line="592" w:lineRule="exact"/>
        <w:ind w:right="-279"/>
        <w:jc w:val="right"/>
        <w:rPr>
          <w:rFonts w:cs="Times New Roman"/>
        </w:rPr>
      </w:pPr>
      <w:r>
        <w:rPr>
          <w:rFonts w:cs="Times New Roman"/>
        </w:rPr>
        <w:t>教务〔2021〕</w:t>
      </w:r>
      <w:r>
        <w:rPr>
          <w:rFonts w:hint="eastAsia" w:cs="Times New Roman"/>
          <w:lang w:val="en-US" w:eastAsia="zh-CN"/>
        </w:rPr>
        <w:t>124</w:t>
      </w:r>
      <w:r>
        <w:rPr>
          <w:rFonts w:cs="Times New Roman"/>
        </w:rPr>
        <w:t>号</w:t>
      </w:r>
    </w:p>
    <w:p>
      <w:pPr>
        <w:spacing w:line="592" w:lineRule="exact"/>
        <w:ind w:right="-279"/>
        <w:rPr>
          <w:rFonts w:cs="Times New Roman"/>
        </w:rPr>
      </w:pPr>
    </w:p>
    <w:p>
      <w:pPr>
        <w:spacing w:line="592" w:lineRule="exact"/>
        <w:ind w:right="-279"/>
        <w:jc w:val="center"/>
        <w:rPr>
          <w:rFonts w:eastAsia="方正小标宋简体" w:cs="Times New Roman"/>
          <w:color w:val="000000" w:themeColor="text1"/>
          <w:sz w:val="44"/>
          <w:szCs w:val="44"/>
          <w14:textFill>
            <w14:solidFill>
              <w14:schemeClr w14:val="tx1"/>
            </w14:solidFill>
          </w14:textFill>
        </w:rPr>
      </w:pPr>
      <w:r>
        <w:rPr>
          <w:rFonts w:eastAsia="方正小标宋简体" w:cs="Times New Roman"/>
          <w:color w:val="000000" w:themeColor="text1"/>
          <w:sz w:val="44"/>
          <w:szCs w:val="44"/>
          <w14:textFill>
            <w14:solidFill>
              <w14:schemeClr w14:val="tx1"/>
            </w14:solidFill>
          </w14:textFill>
        </w:rPr>
        <w:t>教务部关于印发《</w:t>
      </w:r>
      <w:bookmarkStart w:id="0" w:name="_Hlk70244136"/>
      <w:r>
        <w:rPr>
          <w:rFonts w:eastAsia="方正小标宋简体" w:cs="Times New Roman"/>
          <w:color w:val="000000" w:themeColor="text1"/>
          <w:sz w:val="44"/>
          <w:szCs w:val="44"/>
          <w14:textFill>
            <w14:solidFill>
              <w14:schemeClr w14:val="tx1"/>
            </w14:solidFill>
          </w14:textFill>
        </w:rPr>
        <w:t>中山大学</w:t>
      </w:r>
      <w:r>
        <w:rPr>
          <w:rFonts w:hint="eastAsia" w:eastAsia="方正小标宋简体" w:cs="Times New Roman"/>
          <w:color w:val="000000" w:themeColor="text1"/>
          <w:sz w:val="44"/>
          <w:szCs w:val="44"/>
          <w14:textFill>
            <w14:solidFill>
              <w14:schemeClr w14:val="tx1"/>
            </w14:solidFill>
          </w14:textFill>
        </w:rPr>
        <w:t>课堂教学管理工作细则</w:t>
      </w:r>
      <w:bookmarkEnd w:id="0"/>
      <w:r>
        <w:rPr>
          <w:rFonts w:eastAsia="方正小标宋简体" w:cs="Times New Roman"/>
          <w:color w:val="000000" w:themeColor="text1"/>
          <w:sz w:val="44"/>
          <w:szCs w:val="44"/>
          <w14:textFill>
            <w14:solidFill>
              <w14:schemeClr w14:val="tx1"/>
            </w14:solidFill>
          </w14:textFill>
        </w:rPr>
        <w:t>》的通知</w:t>
      </w:r>
    </w:p>
    <w:p>
      <w:pPr>
        <w:spacing w:line="592" w:lineRule="exact"/>
        <w:rPr>
          <w:rFonts w:cs="Times New Roman"/>
          <w:kern w:val="0"/>
          <w:szCs w:val="32"/>
        </w:rPr>
      </w:pPr>
    </w:p>
    <w:p>
      <w:pPr>
        <w:adjustRightInd/>
        <w:snapToGrid/>
        <w:spacing w:line="592" w:lineRule="exact"/>
        <w:jc w:val="both"/>
        <w:rPr>
          <w:rFonts w:cs="Times New Roman"/>
          <w:color w:val="000000"/>
          <w:szCs w:val="32"/>
        </w:rPr>
      </w:pPr>
      <w:r>
        <w:rPr>
          <w:rFonts w:cs="Times New Roman"/>
          <w:color w:val="000000"/>
          <w:szCs w:val="32"/>
        </w:rPr>
        <w:t>各教学单位：</w:t>
      </w:r>
    </w:p>
    <w:p>
      <w:pPr>
        <w:spacing w:line="592" w:lineRule="exact"/>
        <w:ind w:firstLine="630"/>
        <w:jc w:val="both"/>
        <w:rPr>
          <w:rFonts w:cs="Times New Roman"/>
          <w:szCs w:val="32"/>
        </w:rPr>
      </w:pPr>
      <w:r>
        <w:rPr>
          <w:rFonts w:cs="Times New Roman"/>
          <w:szCs w:val="32"/>
        </w:rPr>
        <w:t>根据《</w:t>
      </w:r>
      <w:r>
        <w:rPr>
          <w:rFonts w:hint="eastAsia" w:cs="Times New Roman"/>
          <w:szCs w:val="32"/>
        </w:rPr>
        <w:t>中山大学课堂教学管理办法</w:t>
      </w:r>
      <w:r>
        <w:rPr>
          <w:rFonts w:cs="Times New Roman"/>
          <w:szCs w:val="32"/>
        </w:rPr>
        <w:t>》（</w:t>
      </w:r>
      <w:r>
        <w:rPr>
          <w:rFonts w:hint="eastAsia" w:cs="Times New Roman"/>
          <w:szCs w:val="32"/>
        </w:rPr>
        <w:t>中大教务</w:t>
      </w:r>
      <w:r>
        <w:rPr>
          <w:rFonts w:cs="Times New Roman"/>
          <w:szCs w:val="24"/>
        </w:rPr>
        <w:t>〔2016〕66</w:t>
      </w:r>
      <w:r>
        <w:rPr>
          <w:rFonts w:hint="eastAsia" w:cs="Times New Roman"/>
          <w:szCs w:val="24"/>
        </w:rPr>
        <w:t>号</w:t>
      </w:r>
      <w:r>
        <w:rPr>
          <w:rFonts w:cs="Times New Roman"/>
          <w:szCs w:val="32"/>
        </w:rPr>
        <w:t>）要求，为进一步规范和完善有关工作机制，现将《</w:t>
      </w:r>
      <w:r>
        <w:rPr>
          <w:rFonts w:hint="eastAsia" w:cs="Times New Roman"/>
          <w:szCs w:val="32"/>
        </w:rPr>
        <w:t>中山大学课堂教学管理工作细则</w:t>
      </w:r>
      <w:r>
        <w:rPr>
          <w:rFonts w:cs="Times New Roman"/>
          <w:szCs w:val="32"/>
        </w:rPr>
        <w:t>》印发给你们，供工作中参考。</w:t>
      </w:r>
    </w:p>
    <w:p>
      <w:pPr>
        <w:spacing w:line="592" w:lineRule="exact"/>
        <w:ind w:firstLine="630"/>
        <w:jc w:val="both"/>
        <w:rPr>
          <w:rFonts w:cs="Times New Roman"/>
          <w:szCs w:val="32"/>
        </w:rPr>
      </w:pPr>
    </w:p>
    <w:p>
      <w:pPr>
        <w:spacing w:line="592" w:lineRule="exact"/>
        <w:ind w:firstLine="630"/>
        <w:jc w:val="both"/>
        <w:rPr>
          <w:rFonts w:cs="Times New Roman"/>
          <w:szCs w:val="32"/>
        </w:rPr>
      </w:pPr>
    </w:p>
    <w:p>
      <w:pPr>
        <w:spacing w:line="592" w:lineRule="exact"/>
        <w:ind w:firstLine="630"/>
        <w:jc w:val="both"/>
        <w:rPr>
          <w:rFonts w:cs="Times New Roman"/>
          <w:szCs w:val="32"/>
        </w:rPr>
      </w:pPr>
      <w:bookmarkStart w:id="1" w:name="_GoBack"/>
      <w:bookmarkEnd w:id="1"/>
    </w:p>
    <w:p>
      <w:pPr>
        <w:spacing w:line="592" w:lineRule="exact"/>
        <w:ind w:right="1264"/>
        <w:jc w:val="center"/>
        <w:rPr>
          <w:rFonts w:cs="Times New Roman"/>
          <w:color w:val="000000"/>
          <w:szCs w:val="32"/>
        </w:rPr>
      </w:pPr>
      <w:r>
        <w:rPr>
          <w:rFonts w:hint="eastAsia" w:cs="Times New Roman"/>
          <w:color w:val="000000"/>
          <w:szCs w:val="32"/>
          <w:lang w:val="en-US" w:eastAsia="zh-CN"/>
        </w:rPr>
        <w:t xml:space="preserve">                                     </w:t>
      </w:r>
      <w:r>
        <w:rPr>
          <w:rFonts w:cs="Times New Roman"/>
          <w:color w:val="000000"/>
          <w:szCs w:val="32"/>
        </w:rPr>
        <w:t>教务部</w:t>
      </w:r>
    </w:p>
    <w:p>
      <w:pPr>
        <w:spacing w:line="592" w:lineRule="exact"/>
        <w:ind w:left="5528" w:leftChars="1772"/>
        <w:rPr>
          <w:rFonts w:cs="Times New Roman"/>
          <w:color w:val="000000"/>
          <w:szCs w:val="32"/>
        </w:rPr>
      </w:pPr>
      <w:r>
        <w:rPr>
          <w:rFonts w:cs="Times New Roman"/>
          <w:color w:val="000000"/>
          <w:szCs w:val="32"/>
        </w:rPr>
        <w:t>2021年4月25日</w:t>
      </w:r>
    </w:p>
    <w:p>
      <w:pPr>
        <w:spacing w:line="592" w:lineRule="exact"/>
        <w:rPr>
          <w:rFonts w:cs="Times New Roman"/>
          <w:color w:val="000000"/>
          <w:szCs w:val="32"/>
        </w:rPr>
      </w:pPr>
      <w:r>
        <w:rPr>
          <w:rFonts w:eastAsia="楷体_GB2312" w:cs="Times New Roman"/>
          <w:bCs/>
          <w:kern w:val="0"/>
          <w:szCs w:val="32"/>
        </w:rPr>
        <mc:AlternateContent>
          <mc:Choice Requires="wpg">
            <w:drawing>
              <wp:anchor distT="0" distB="0" distL="114300" distR="114300" simplePos="0" relativeHeight="251660288" behindDoc="0" locked="0" layoutInCell="1" allowOverlap="1">
                <wp:simplePos x="0" y="0"/>
                <wp:positionH relativeFrom="column">
                  <wp:posOffset>-287020</wp:posOffset>
                </wp:positionH>
                <wp:positionV relativeFrom="page">
                  <wp:posOffset>9754870</wp:posOffset>
                </wp:positionV>
                <wp:extent cx="6155690" cy="50165"/>
                <wp:effectExtent l="0" t="0" r="16510" b="26035"/>
                <wp:wrapNone/>
                <wp:docPr id="4" name="组合 4"/>
                <wp:cNvGraphicFramePr/>
                <a:graphic xmlns:a="http://schemas.openxmlformats.org/drawingml/2006/main">
                  <a:graphicData uri="http://schemas.microsoft.com/office/word/2010/wordprocessingGroup">
                    <wpg:wgp>
                      <wpg:cNvGrpSpPr/>
                      <wpg:grpSpPr>
                        <a:xfrm rot="10800000">
                          <a:off x="0" y="0"/>
                          <a:ext cx="6155690" cy="50165"/>
                          <a:chOff x="1238" y="3498"/>
                          <a:chExt cx="9693" cy="80"/>
                        </a:xfrm>
                      </wpg:grpSpPr>
                      <wps:wsp>
                        <wps:cNvPr id="5" name="Line 3"/>
                        <wps:cNvCnPr>
                          <a:cxnSpLocks noChangeShapeType="1"/>
                        </wps:cNvCnPr>
                        <wps:spPr bwMode="auto">
                          <a:xfrm>
                            <a:off x="1238" y="3498"/>
                            <a:ext cx="9693" cy="0"/>
                          </a:xfrm>
                          <a:prstGeom prst="line">
                            <a:avLst/>
                          </a:prstGeom>
                          <a:noFill/>
                          <a:ln w="28575">
                            <a:solidFill>
                              <a:srgbClr val="FF0000"/>
                            </a:solidFill>
                            <a:round/>
                          </a:ln>
                        </wps:spPr>
                        <wps:bodyPr/>
                      </wps:wsp>
                      <wps:wsp>
                        <wps:cNvPr id="6" name="Line 4"/>
                        <wps:cNvCnPr>
                          <a:cxnSpLocks noChangeShapeType="1"/>
                        </wps:cNvCnPr>
                        <wps:spPr bwMode="auto">
                          <a:xfrm>
                            <a:off x="1238" y="3578"/>
                            <a:ext cx="9693" cy="0"/>
                          </a:xfrm>
                          <a:prstGeom prst="line">
                            <a:avLst/>
                          </a:prstGeom>
                          <a:noFill/>
                          <a:ln w="9525">
                            <a:solidFill>
                              <a:srgbClr val="FF0000"/>
                            </a:solidFill>
                            <a:round/>
                          </a:ln>
                        </wps:spPr>
                        <wps:bodyPr/>
                      </wps:wsp>
                    </wpg:wgp>
                  </a:graphicData>
                </a:graphic>
              </wp:anchor>
            </w:drawing>
          </mc:Choice>
          <mc:Fallback>
            <w:pict>
              <v:group id="_x0000_s1026" o:spid="_x0000_s1026" o:spt="203" style="position:absolute;left:0pt;margin-left:-22.6pt;margin-top:768.1pt;height:3.95pt;width:484.7pt;mso-position-vertical-relative:page;rotation:11796480f;z-index:251660288;mso-width-relative:page;mso-height-relative:page;" coordorigin="1238,3498" coordsize="9693,80" o:gfxdata="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p7PWdoAAAANAQAADwAAAAAAAAABACAAAAAiAAAAZHJzL2Rvd25y&#10;ZXYueG1sUEsBAhQAFAAAAAgAh07iQHyxdIVuAgAAowYAAA4AAAAAAAAAAQAgAAAAKQEAAGRycy9l&#10;Mm9Eb2MueG1sUEsFBgAAAAAGAAYAWQEAAAkGAAAAAA==&#10;">
                <o:lock v:ext="edit" aspectratio="f"/>
                <v:line id="Line 3" o:spid="_x0000_s1026" o:spt="20" style="position:absolute;left:1238;top:3498;height:0;width:9693;" filled="f" stroked="t" coordsize="21600,21600" o:gfxdata="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QzuLsAAADa&#10;AAAADwAAAAAAAAABACAAAAAiAAAAZHJzL2Rvd25yZXYueG1sUEsBAhQAFAAAAAgAh07iQDMvBZ47&#10;AAAAOQAAABAAAAAAAAAAAQAgAAAACgEAAGRycy9zaGFwZXhtbC54bWxQSwUGAAAAAAYABgBbAQAA&#10;tAMAAAAA&#10;">
                  <v:fill on="f" focussize="0,0"/>
                  <v:stroke weight="2.25pt" color="#FF0000" joinstyle="round"/>
                  <v:imagedata o:title=""/>
                  <o:lock v:ext="edit" aspectratio="f"/>
                </v:line>
                <v:line id="Line 4" o:spid="_x0000_s1026" o:spt="20" style="position:absolute;left:1238;top:3578;height:0;width:9693;" filled="f" stroked="t" coordsize="21600,21600" o:gfxdata="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2kvC8AAAA&#10;2gAAAA8AAAAAAAAAAQAgAAAAIgAAAGRycy9kb3ducmV2LnhtbFBLAQIUABQAAAAIAIdO4kAzLwWe&#10;OwAAADkAAAAQAAAAAAAAAAEAIAAAAAsBAABkcnMvc2hhcGV4bWwueG1sUEsFBgAAAAAGAAYAWwEA&#10;ALUDAAAAAA==&#10;">
                  <v:fill on="f" focussize="0,0"/>
                  <v:stroke color="#FF0000" joinstyle="round"/>
                  <v:imagedata o:title=""/>
                  <o:lock v:ext="edit" aspectratio="f"/>
                </v:line>
              </v:group>
            </w:pict>
          </mc:Fallback>
        </mc:AlternateContent>
      </w:r>
    </w:p>
    <w:p>
      <w:pPr>
        <w:spacing w:line="592" w:lineRule="exact"/>
        <w:rPr>
          <w:rFonts w:cs="Times New Roman"/>
          <w:color w:val="000000"/>
          <w:szCs w:val="32"/>
        </w:rPr>
      </w:pPr>
    </w:p>
    <w:p>
      <w:pPr>
        <w:spacing w:line="592" w:lineRule="exact"/>
        <w:rPr>
          <w:rFonts w:cs="Times New Roman"/>
          <w:color w:val="000000"/>
          <w:szCs w:val="32"/>
        </w:rPr>
      </w:pPr>
    </w:p>
    <w:p>
      <w:pPr>
        <w:spacing w:line="592" w:lineRule="exact"/>
        <w:rPr>
          <w:rFonts w:cs="Times New Roman"/>
          <w:color w:val="000000"/>
          <w:szCs w:val="32"/>
        </w:rPr>
      </w:pPr>
    </w:p>
    <w:p>
      <w:pPr>
        <w:pStyle w:val="23"/>
        <w:snapToGrid w:val="0"/>
        <w:spacing w:before="577" w:beforeLines="100" w:line="560" w:lineRule="exact"/>
        <w:rPr>
          <w:rFonts w:ascii="方正小标宋简体" w:hAnsi="方正小标宋简体" w:eastAsia="方正小标宋简体" w:cs="方正小标宋简体"/>
          <w:b/>
          <w:color w:val="333333"/>
          <w:sz w:val="44"/>
          <w:szCs w:val="44"/>
        </w:rPr>
      </w:pPr>
      <w:r>
        <w:rPr>
          <w:rStyle w:val="11"/>
          <w:rFonts w:hint="eastAsia" w:ascii="方正小标宋简体" w:hAnsi="方正小标宋简体" w:eastAsia="方正小标宋简体" w:cs="方正小标宋简体"/>
          <w:color w:val="333333"/>
          <w:sz w:val="44"/>
          <w:szCs w:val="44"/>
        </w:rPr>
        <w:t>中山大学课堂教学管理工作细则</w:t>
      </w:r>
    </w:p>
    <w:p>
      <w:pPr>
        <w:spacing w:line="540" w:lineRule="exact"/>
        <w:jc w:val="both"/>
        <w:rPr>
          <w:rFonts w:ascii="黑体" w:hAnsi="黑体" w:eastAsia="黑体" w:cs="黑体"/>
          <w:bCs/>
          <w:color w:val="000000"/>
          <w:kern w:val="0"/>
          <w:szCs w:val="32"/>
        </w:rPr>
      </w:pPr>
    </w:p>
    <w:p>
      <w:pPr>
        <w:spacing w:line="540" w:lineRule="exact"/>
        <w:jc w:val="center"/>
        <w:rPr>
          <w:rFonts w:ascii="黑体" w:hAnsi="黑体" w:eastAsia="黑体" w:cs="黑体"/>
          <w:bCs/>
          <w:color w:val="000000"/>
          <w:kern w:val="0"/>
          <w:szCs w:val="32"/>
        </w:rPr>
      </w:pPr>
      <w:r>
        <w:rPr>
          <w:rFonts w:hint="eastAsia" w:ascii="黑体" w:hAnsi="黑体" w:eastAsia="黑体" w:cs="黑体"/>
          <w:bCs/>
          <w:color w:val="000000"/>
          <w:kern w:val="0"/>
          <w:szCs w:val="32"/>
        </w:rPr>
        <w:t>第一章</w:t>
      </w:r>
      <w:r>
        <w:rPr>
          <w:rFonts w:ascii="黑体" w:hAnsi="黑体" w:eastAsia="黑体" w:cs="黑体"/>
          <w:bCs/>
          <w:color w:val="000000"/>
          <w:kern w:val="0"/>
          <w:szCs w:val="32"/>
        </w:rPr>
        <w:t xml:space="preserve">  </w:t>
      </w:r>
      <w:r>
        <w:rPr>
          <w:rFonts w:hint="eastAsia" w:ascii="黑体" w:hAnsi="黑体" w:eastAsia="黑体" w:cs="黑体"/>
          <w:bCs/>
          <w:color w:val="000000"/>
          <w:kern w:val="0"/>
          <w:szCs w:val="32"/>
        </w:rPr>
        <w:t>总则</w:t>
      </w:r>
    </w:p>
    <w:p>
      <w:pPr>
        <w:pStyle w:val="2"/>
        <w:tabs>
          <w:tab w:val="left" w:pos="2047"/>
        </w:tabs>
        <w:spacing w:line="540" w:lineRule="exact"/>
        <w:ind w:firstLine="643"/>
        <w:jc w:val="both"/>
        <w:rPr>
          <w:rFonts w:ascii="仿宋_GB2312" w:hAnsi="仿宋_GB2312" w:cs="仿宋_GB2312"/>
          <w:sz w:val="32"/>
          <w:szCs w:val="32"/>
        </w:rPr>
      </w:pPr>
      <w:r>
        <w:rPr>
          <w:rFonts w:hint="eastAsia" w:ascii="仿宋_GB2312" w:hAnsi="仿宋_GB2312" w:cs="仿宋_GB2312"/>
          <w:b/>
          <w:bCs w:val="0"/>
          <w:color w:val="000000"/>
          <w:sz w:val="32"/>
          <w:szCs w:val="32"/>
        </w:rPr>
        <w:t>第一条</w:t>
      </w:r>
      <w:r>
        <w:rPr>
          <w:rFonts w:ascii="仿宋_GB2312" w:hAnsi="仿宋_GB2312" w:cs="仿宋_GB2312"/>
          <w:color w:val="000000"/>
          <w:sz w:val="32"/>
          <w:szCs w:val="32"/>
        </w:rPr>
        <w:t xml:space="preserve"> </w:t>
      </w:r>
      <w:r>
        <w:rPr>
          <w:rFonts w:hint="eastAsia" w:ascii="仿宋_GB2312" w:hAnsi="仿宋_GB2312" w:cs="仿宋_GB2312"/>
          <w:color w:val="000000"/>
          <w:sz w:val="32"/>
          <w:szCs w:val="32"/>
        </w:rPr>
        <w:t>为进一步严肃课堂教学纪律，规范课堂教学秩序，为课堂教学管理工作提供依据，</w:t>
      </w:r>
      <w:r>
        <w:rPr>
          <w:rFonts w:hint="eastAsia" w:ascii="仿宋_GB2312" w:hAnsi="仿宋_GB2312" w:cs="仿宋_GB2312"/>
          <w:sz w:val="32"/>
          <w:szCs w:val="32"/>
        </w:rPr>
        <w:t>根据《中山</w:t>
      </w:r>
      <w:r>
        <w:rPr>
          <w:rFonts w:hint="eastAsia" w:ascii="仿宋_GB2312" w:hAnsi="仿宋_GB2312" w:cs="仿宋_GB2312"/>
          <w:spacing w:val="2"/>
          <w:sz w:val="32"/>
          <w:szCs w:val="32"/>
        </w:rPr>
        <w:t>大</w:t>
      </w:r>
      <w:r>
        <w:rPr>
          <w:rFonts w:hint="eastAsia" w:ascii="仿宋_GB2312" w:hAnsi="仿宋_GB2312" w:cs="仿宋_GB2312"/>
          <w:sz w:val="32"/>
          <w:szCs w:val="32"/>
        </w:rPr>
        <w:t>学课堂教学管理</w:t>
      </w:r>
      <w:r>
        <w:rPr>
          <w:rFonts w:hint="eastAsia" w:ascii="仿宋_GB2312" w:hAnsi="仿宋_GB2312" w:cs="仿宋_GB2312"/>
          <w:spacing w:val="2"/>
          <w:sz w:val="32"/>
          <w:szCs w:val="32"/>
        </w:rPr>
        <w:t>办</w:t>
      </w:r>
      <w:r>
        <w:rPr>
          <w:rFonts w:hint="eastAsia" w:ascii="仿宋_GB2312" w:hAnsi="仿宋_GB2312" w:cs="仿宋_GB2312"/>
          <w:sz w:val="32"/>
          <w:szCs w:val="32"/>
        </w:rPr>
        <w:t>法》</w:t>
      </w:r>
      <w:r>
        <w:rPr>
          <w:rFonts w:ascii="仿宋_GB2312" w:hAnsi="仿宋_GB2312" w:cs="仿宋_GB2312"/>
          <w:color w:val="000000"/>
          <w:sz w:val="32"/>
          <w:szCs w:val="32"/>
        </w:rPr>
        <w:t>（</w:t>
      </w:r>
      <w:r>
        <w:rPr>
          <w:rFonts w:hint="eastAsia" w:ascii="仿宋_GB2312" w:hAnsi="仿宋_GB2312" w:cs="仿宋_GB2312"/>
          <w:color w:val="000000"/>
          <w:sz w:val="32"/>
          <w:szCs w:val="32"/>
        </w:rPr>
        <w:t>中大教务</w:t>
      </w:r>
      <w:r>
        <w:rPr>
          <w:rFonts w:ascii="仿宋_GB2312" w:hAnsi="仿宋_GB2312" w:cs="仿宋_GB2312"/>
          <w:color w:val="000000"/>
          <w:sz w:val="32"/>
          <w:szCs w:val="32"/>
        </w:rPr>
        <w:t>〔2016〕66</w:t>
      </w:r>
      <w:r>
        <w:rPr>
          <w:rFonts w:hint="eastAsia" w:ascii="仿宋_GB2312" w:hAnsi="仿宋_GB2312" w:cs="仿宋_GB2312"/>
          <w:color w:val="000000"/>
          <w:sz w:val="32"/>
          <w:szCs w:val="32"/>
        </w:rPr>
        <w:t>号</w:t>
      </w:r>
      <w:r>
        <w:rPr>
          <w:rFonts w:ascii="仿宋_GB2312" w:hAnsi="仿宋_GB2312" w:cs="仿宋_GB2312"/>
          <w:color w:val="000000"/>
          <w:sz w:val="32"/>
          <w:szCs w:val="32"/>
        </w:rPr>
        <w:t>）</w:t>
      </w:r>
      <w:r>
        <w:rPr>
          <w:rFonts w:hint="eastAsia" w:ascii="仿宋_GB2312" w:hAnsi="仿宋_GB2312" w:cs="仿宋_GB2312"/>
          <w:color w:val="000000"/>
          <w:sz w:val="32"/>
          <w:szCs w:val="32"/>
        </w:rPr>
        <w:t>，制定</w:t>
      </w:r>
      <w:r>
        <w:rPr>
          <w:rFonts w:hint="eastAsia" w:ascii="仿宋_GB2312" w:hAnsi="仿宋_GB2312" w:cs="仿宋_GB2312"/>
          <w:sz w:val="32"/>
          <w:szCs w:val="32"/>
        </w:rPr>
        <w:t>本</w:t>
      </w:r>
      <w:r>
        <w:rPr>
          <w:rFonts w:hint="eastAsia" w:ascii="仿宋_GB2312" w:hAnsi="仿宋_GB2312" w:cs="仿宋_GB2312"/>
          <w:spacing w:val="2"/>
          <w:sz w:val="32"/>
          <w:szCs w:val="32"/>
        </w:rPr>
        <w:t>细</w:t>
      </w:r>
      <w:r>
        <w:rPr>
          <w:rFonts w:hint="eastAsia" w:ascii="仿宋_GB2312" w:hAnsi="仿宋_GB2312" w:cs="仿宋_GB2312"/>
          <w:sz w:val="32"/>
          <w:szCs w:val="32"/>
        </w:rPr>
        <w:t>则。</w:t>
      </w:r>
    </w:p>
    <w:p>
      <w:pPr>
        <w:spacing w:line="540" w:lineRule="exact"/>
        <w:ind w:firstLine="624" w:firstLineChars="200"/>
        <w:jc w:val="both"/>
        <w:rPr>
          <w:rFonts w:ascii="仿宋_GB2312" w:hAnsi="宋体" w:cs="宋体"/>
          <w:color w:val="000000"/>
          <w:kern w:val="0"/>
          <w:szCs w:val="32"/>
        </w:rPr>
      </w:pPr>
      <w:r>
        <w:rPr>
          <w:rFonts w:hint="eastAsia" w:ascii="仿宋_GB2312" w:hAnsi="仿宋_GB2312" w:cs="仿宋_GB2312"/>
          <w:b/>
          <w:color w:val="000000"/>
          <w:kern w:val="0"/>
          <w:szCs w:val="32"/>
        </w:rPr>
        <w:t>第二条</w:t>
      </w:r>
      <w:r>
        <w:rPr>
          <w:rFonts w:ascii="仿宋_GB2312" w:hAnsi="仿宋_GB2312" w:cs="仿宋_GB2312"/>
          <w:b/>
          <w:color w:val="000000"/>
          <w:kern w:val="0"/>
          <w:szCs w:val="32"/>
        </w:rPr>
        <w:t xml:space="preserve"> </w:t>
      </w:r>
      <w:r>
        <w:rPr>
          <w:rFonts w:hint="eastAsia" w:ascii="仿宋_GB2312" w:hAnsi="仿宋_GB2312" w:cs="仿宋_GB2312"/>
          <w:color w:val="000000"/>
          <w:kern w:val="0"/>
          <w:szCs w:val="32"/>
        </w:rPr>
        <w:t>本细则所指课堂教学是指教学单位按照人才培养方案的规定，根据教学计划组织教师面向学生开展的课程教学</w:t>
      </w:r>
      <w:r>
        <w:rPr>
          <w:rFonts w:hint="eastAsia" w:ascii="仿宋_GB2312" w:hAnsi="宋体" w:cs="宋体"/>
          <w:color w:val="000000"/>
          <w:kern w:val="0"/>
          <w:szCs w:val="32"/>
        </w:rPr>
        <w:t>活动；所指课程含理论课、实验课、实践课（含实习见习）、指导论文（含设计）等培养方案中列出的所有计划内课程。</w:t>
      </w:r>
    </w:p>
    <w:p>
      <w:pPr>
        <w:spacing w:line="540" w:lineRule="exact"/>
        <w:ind w:firstLine="624" w:firstLineChars="200"/>
        <w:jc w:val="both"/>
        <w:rPr>
          <w:rFonts w:ascii="仿宋_GB2312" w:hAnsi="宋体" w:cs="宋体"/>
          <w:color w:val="000000"/>
          <w:kern w:val="0"/>
          <w:szCs w:val="32"/>
        </w:rPr>
      </w:pPr>
      <w:r>
        <w:rPr>
          <w:rFonts w:hint="eastAsia" w:ascii="仿宋_GB2312"/>
          <w:b/>
          <w:color w:val="000000"/>
          <w:kern w:val="0"/>
          <w:szCs w:val="32"/>
        </w:rPr>
        <w:t xml:space="preserve">第三条 </w:t>
      </w:r>
      <w:r>
        <w:rPr>
          <w:rFonts w:hint="eastAsia" w:ascii="仿宋_GB2312" w:hAnsi="宋体" w:cs="宋体"/>
          <w:color w:val="000000"/>
          <w:kern w:val="0"/>
          <w:szCs w:val="32"/>
        </w:rPr>
        <w:t>课堂教学应全面贯彻党的教育方针和政策，弘扬社会主义核心价值观，坚持育人为本，坚持以促进学生的全面发展为目标，遵循教育教学规律，把立德树人的思想价值观引领、贯穿教育教学全过程。</w:t>
      </w:r>
    </w:p>
    <w:p>
      <w:pPr>
        <w:widowControl/>
        <w:spacing w:line="540" w:lineRule="exact"/>
        <w:jc w:val="both"/>
        <w:rPr>
          <w:rFonts w:ascii="仿宋_GB2312"/>
          <w:b/>
          <w:color w:val="000000"/>
          <w:kern w:val="0"/>
          <w:szCs w:val="32"/>
        </w:rPr>
      </w:pPr>
    </w:p>
    <w:p>
      <w:pPr>
        <w:spacing w:line="540" w:lineRule="exact"/>
        <w:jc w:val="center"/>
        <w:rPr>
          <w:rFonts w:ascii="黑体" w:hAnsi="黑体" w:eastAsia="黑体" w:cs="黑体"/>
          <w:color w:val="000000"/>
          <w:szCs w:val="32"/>
        </w:rPr>
      </w:pPr>
      <w:r>
        <w:rPr>
          <w:rFonts w:hint="eastAsia" w:ascii="黑体" w:hAnsi="黑体" w:eastAsia="黑体" w:cs="黑体"/>
          <w:color w:val="000000"/>
          <w:szCs w:val="32"/>
        </w:rPr>
        <w:t>第二章  教师课堂教学职责</w:t>
      </w:r>
    </w:p>
    <w:p>
      <w:pPr>
        <w:widowControl/>
        <w:spacing w:line="540" w:lineRule="exact"/>
        <w:ind w:firstLine="624" w:firstLineChars="200"/>
        <w:jc w:val="both"/>
        <w:rPr>
          <w:rFonts w:ascii="仿宋_GB2312"/>
          <w:color w:val="000000"/>
          <w:szCs w:val="32"/>
        </w:rPr>
      </w:pPr>
      <w:r>
        <w:rPr>
          <w:rFonts w:hint="eastAsia" w:ascii="仿宋_GB2312"/>
          <w:b/>
          <w:color w:val="000000"/>
          <w:kern w:val="0"/>
          <w:szCs w:val="32"/>
        </w:rPr>
        <w:t>第四条</w:t>
      </w:r>
      <w:r>
        <w:rPr>
          <w:rFonts w:hint="eastAsia" w:ascii="仿宋_GB2312"/>
          <w:color w:val="000000"/>
          <w:kern w:val="0"/>
          <w:szCs w:val="32"/>
        </w:rPr>
        <w:t xml:space="preserve"> 教师在教学活动中应严格遵守教师职业道德规范和教学工作要求，在课堂教学活动中不得有下列违反宪法法律和违背教师职业道德等的言行：</w:t>
      </w:r>
      <w:r>
        <w:rPr>
          <w:rFonts w:hint="eastAsia" w:ascii="仿宋_GB2312"/>
          <w:color w:val="000000"/>
          <w:szCs w:val="32"/>
        </w:rPr>
        <w:t>不得非议宪法，不得非议中国共产党领导，不得传播宗教迷信，不得有违背党的路线方针政策的言行，不得有损害国家利益、学校合法权益和影响学生健康成长的言行。</w:t>
      </w:r>
    </w:p>
    <w:p>
      <w:pPr>
        <w:widowControl/>
        <w:spacing w:line="540" w:lineRule="exact"/>
        <w:ind w:firstLine="624" w:firstLineChars="200"/>
        <w:jc w:val="both"/>
        <w:rPr>
          <w:rFonts w:ascii="仿宋_GB2312"/>
          <w:color w:val="000000"/>
          <w:szCs w:val="32"/>
        </w:rPr>
      </w:pPr>
      <w:r>
        <w:rPr>
          <w:rFonts w:hint="eastAsia" w:ascii="仿宋_GB2312"/>
          <w:b/>
          <w:bCs/>
          <w:color w:val="000000"/>
          <w:szCs w:val="32"/>
        </w:rPr>
        <w:t>第五条</w:t>
      </w:r>
      <w:r>
        <w:rPr>
          <w:rFonts w:hint="eastAsia" w:ascii="仿宋_GB2312"/>
          <w:color w:val="000000"/>
          <w:szCs w:val="32"/>
        </w:rPr>
        <w:t xml:space="preserve"> 教师在教学活动中应切实肩负起立德树人、教书育人的光荣职责，充分发掘和运用课程中</w:t>
      </w:r>
      <w:r>
        <w:rPr>
          <w:rFonts w:hint="eastAsia" w:ascii="仿宋_GB2312"/>
          <w:szCs w:val="32"/>
        </w:rPr>
        <w:t>蕴含</w:t>
      </w:r>
      <w:r>
        <w:rPr>
          <w:rFonts w:hint="eastAsia" w:ascii="仿宋_GB2312"/>
          <w:color w:val="000000"/>
          <w:szCs w:val="32"/>
        </w:rPr>
        <w:t>的思想政治教育资源，把实现民族复兴的理想和责任融入课程教学当中，使各类课程与思想政治课同向同行，形成协同效应，全面提升学生思想品德、人文素养、认知能力和国家情怀。</w:t>
      </w:r>
    </w:p>
    <w:p>
      <w:pPr>
        <w:widowControl/>
        <w:spacing w:line="540" w:lineRule="exact"/>
        <w:ind w:firstLine="624" w:firstLineChars="200"/>
        <w:jc w:val="both"/>
        <w:rPr>
          <w:rFonts w:ascii="仿宋_GB2312"/>
          <w:color w:val="000000"/>
          <w:szCs w:val="32"/>
        </w:rPr>
      </w:pPr>
      <w:r>
        <w:rPr>
          <w:rFonts w:hint="eastAsia" w:ascii="仿宋_GB2312"/>
          <w:b/>
          <w:bCs/>
          <w:color w:val="000000"/>
          <w:szCs w:val="32"/>
        </w:rPr>
        <w:t>第六条</w:t>
      </w:r>
      <w:r>
        <w:rPr>
          <w:rFonts w:hint="eastAsia" w:ascii="仿宋_GB2312"/>
          <w:color w:val="000000"/>
          <w:szCs w:val="32"/>
        </w:rPr>
        <w:t xml:space="preserve"> 教师在教学活动中，应根据《中山大学教师守则》《中山大学课堂教学“十不准”》</w:t>
      </w:r>
      <w:r>
        <w:rPr>
          <w:rFonts w:hint="eastAsia" w:ascii="仿宋_GB2312" w:hAnsi="宋体"/>
          <w:color w:val="000000"/>
          <w:szCs w:val="32"/>
        </w:rPr>
        <w:t>《中山大学教师本科教学工作规程》《中山大学课堂教学管理办法》《中山大学研究生课程管理办法》等</w:t>
      </w:r>
      <w:r>
        <w:rPr>
          <w:rFonts w:hint="eastAsia" w:ascii="仿宋_GB2312"/>
          <w:color w:val="000000"/>
          <w:szCs w:val="32"/>
        </w:rPr>
        <w:t>的有关规定，自觉遵守课堂教学组织纪律，维护课堂教学秩序，对课堂教学的设计、组织、安排以及授课质量、育人效果等教学工作负具体责任。</w:t>
      </w:r>
    </w:p>
    <w:p>
      <w:pPr>
        <w:spacing w:line="540" w:lineRule="exact"/>
        <w:jc w:val="both"/>
        <w:rPr>
          <w:rFonts w:ascii="黑体" w:hAnsi="黑体" w:eastAsia="黑体" w:cs="黑体"/>
          <w:bCs/>
          <w:color w:val="000000"/>
          <w:kern w:val="0"/>
          <w:szCs w:val="32"/>
        </w:rPr>
      </w:pPr>
    </w:p>
    <w:p>
      <w:pPr>
        <w:spacing w:line="540" w:lineRule="exact"/>
        <w:jc w:val="center"/>
        <w:rPr>
          <w:rFonts w:ascii="黑体" w:hAnsi="黑体" w:eastAsia="黑体" w:cs="黑体"/>
          <w:bCs/>
          <w:color w:val="000000"/>
          <w:kern w:val="0"/>
          <w:szCs w:val="32"/>
        </w:rPr>
      </w:pPr>
      <w:r>
        <w:rPr>
          <w:rFonts w:hint="eastAsia" w:ascii="黑体" w:hAnsi="黑体" w:eastAsia="黑体" w:cs="黑体"/>
          <w:bCs/>
          <w:color w:val="000000"/>
          <w:kern w:val="0"/>
          <w:szCs w:val="32"/>
        </w:rPr>
        <w:t>第三章  课堂教学组织实施</w:t>
      </w:r>
    </w:p>
    <w:p>
      <w:pPr>
        <w:spacing w:line="540" w:lineRule="exact"/>
        <w:ind w:firstLine="624" w:firstLineChars="200"/>
        <w:jc w:val="both"/>
        <w:rPr>
          <w:rFonts w:ascii="仿宋_GB2312" w:hAnsi="仿宋_GB2312" w:cs="仿宋_GB2312"/>
          <w:color w:val="000000"/>
          <w:szCs w:val="32"/>
        </w:rPr>
      </w:pPr>
      <w:r>
        <w:rPr>
          <w:rFonts w:hint="eastAsia" w:ascii="仿宋_GB2312"/>
          <w:b/>
          <w:color w:val="000000"/>
          <w:kern w:val="0"/>
          <w:szCs w:val="32"/>
        </w:rPr>
        <w:t xml:space="preserve">第七条 </w:t>
      </w:r>
      <w:r>
        <w:rPr>
          <w:rFonts w:hint="eastAsia" w:ascii="仿宋_GB2312"/>
          <w:color w:val="000000"/>
          <w:kern w:val="0"/>
          <w:szCs w:val="32"/>
        </w:rPr>
        <w:t>各学院（系）必须严格按照本学院（系）的专业（大类）培养方案制定每学期的开课计划，</w:t>
      </w:r>
      <w:r>
        <w:rPr>
          <w:rFonts w:hint="eastAsia" w:ascii="仿宋_GB2312" w:cs="宋体"/>
          <w:color w:val="000000"/>
          <w:kern w:val="0"/>
          <w:szCs w:val="32"/>
        </w:rPr>
        <w:t>不得在开课计划之外随意开设课程。</w:t>
      </w:r>
      <w:r>
        <w:rPr>
          <w:rFonts w:hint="eastAsia" w:ascii="仿宋_GB2312" w:hAnsi="仿宋_GB2312" w:cs="仿宋_GB2312"/>
          <w:color w:val="000000"/>
          <w:szCs w:val="32"/>
        </w:rPr>
        <w:t>通识教育课程（公共选修课程）由学校教学管理部门统筹组织开设。</w:t>
      </w:r>
    </w:p>
    <w:p>
      <w:pPr>
        <w:widowControl/>
        <w:spacing w:line="540" w:lineRule="exact"/>
        <w:ind w:firstLine="624" w:firstLineChars="200"/>
        <w:jc w:val="both"/>
        <w:rPr>
          <w:color w:val="000000"/>
          <w:kern w:val="0"/>
          <w:szCs w:val="32"/>
        </w:rPr>
      </w:pPr>
      <w:r>
        <w:rPr>
          <w:rFonts w:hint="eastAsia" w:ascii="仿宋_GB2312" w:hAnsi="仿宋_GB2312" w:cs="仿宋_GB2312"/>
          <w:b/>
          <w:bCs/>
          <w:color w:val="000000"/>
          <w:kern w:val="0"/>
          <w:szCs w:val="32"/>
        </w:rPr>
        <w:t>第八条</w:t>
      </w:r>
      <w:r>
        <w:rPr>
          <w:rFonts w:hint="eastAsia" w:ascii="仿宋_GB2312" w:hAnsi="仿宋_GB2312" w:cs="仿宋_GB2312"/>
          <w:color w:val="000000"/>
          <w:kern w:val="0"/>
          <w:szCs w:val="32"/>
        </w:rPr>
        <w:t xml:space="preserve"> 各</w:t>
      </w:r>
      <w:r>
        <w:rPr>
          <w:rFonts w:hint="eastAsia" w:ascii="仿宋_GB2312"/>
          <w:color w:val="000000"/>
          <w:kern w:val="0"/>
          <w:szCs w:val="32"/>
        </w:rPr>
        <w:t>学院（系）</w:t>
      </w:r>
      <w:r>
        <w:rPr>
          <w:rFonts w:hint="eastAsia" w:ascii="仿宋_GB2312" w:hAnsi="仿宋_GB2312" w:cs="仿宋_GB2312"/>
          <w:color w:val="000000"/>
          <w:kern w:val="0"/>
          <w:szCs w:val="32"/>
        </w:rPr>
        <w:t>制定开课计划后，开课单位综合考虑</w:t>
      </w:r>
      <w:r>
        <w:rPr>
          <w:rFonts w:hint="eastAsia"/>
          <w:color w:val="000000"/>
          <w:kern w:val="0"/>
          <w:szCs w:val="32"/>
        </w:rPr>
        <w:t>课程特点、学生人数、教学效果以及课室、实验室、教学基地条件等多方面的因素，合理编制教学班，开展排课工作。</w:t>
      </w:r>
    </w:p>
    <w:p>
      <w:pPr>
        <w:widowControl/>
        <w:spacing w:line="540" w:lineRule="exact"/>
        <w:ind w:firstLine="624" w:firstLineChars="200"/>
        <w:jc w:val="both"/>
        <w:rPr>
          <w:color w:val="000000"/>
          <w:kern w:val="0"/>
          <w:szCs w:val="32"/>
        </w:rPr>
      </w:pPr>
      <w:r>
        <w:rPr>
          <w:rFonts w:hint="eastAsia"/>
          <w:color w:val="000000"/>
          <w:kern w:val="0"/>
          <w:szCs w:val="32"/>
        </w:rPr>
        <w:t>（一）排课应根据学校校历和学校作息安排具体执行，原则上每门次课程排课所占周次合计不超过18周。</w:t>
      </w:r>
    </w:p>
    <w:p>
      <w:pPr>
        <w:widowControl/>
        <w:spacing w:line="540" w:lineRule="exact"/>
        <w:ind w:firstLine="624" w:firstLineChars="200"/>
        <w:jc w:val="both"/>
        <w:rPr>
          <w:color w:val="000000"/>
          <w:kern w:val="0"/>
          <w:szCs w:val="32"/>
        </w:rPr>
      </w:pPr>
      <w:r>
        <w:rPr>
          <w:rFonts w:hint="eastAsia"/>
          <w:color w:val="000000"/>
          <w:kern w:val="0"/>
          <w:szCs w:val="32"/>
        </w:rPr>
        <w:t>（二）本科课程排课规则：理论课不能3节或3节以上连排；周学时大于2的课程应至少</w:t>
      </w:r>
      <w:r>
        <w:rPr>
          <w:rFonts w:hint="eastAsia"/>
          <w:kern w:val="0"/>
          <w:szCs w:val="32"/>
        </w:rPr>
        <w:t>间隔一天</w:t>
      </w:r>
      <w:r>
        <w:rPr>
          <w:rFonts w:hint="eastAsia"/>
          <w:color w:val="000000"/>
          <w:kern w:val="0"/>
          <w:szCs w:val="32"/>
        </w:rPr>
        <w:t>排课；课程的周学时不宜超过学分的两倍（实验、实践课程除外）。</w:t>
      </w:r>
    </w:p>
    <w:p>
      <w:pPr>
        <w:widowControl/>
        <w:spacing w:line="540" w:lineRule="exact"/>
        <w:ind w:firstLine="624" w:firstLineChars="200"/>
        <w:jc w:val="both"/>
        <w:rPr>
          <w:color w:val="000000"/>
          <w:kern w:val="0"/>
          <w:szCs w:val="32"/>
        </w:rPr>
      </w:pPr>
      <w:r>
        <w:rPr>
          <w:rFonts w:hint="eastAsia"/>
          <w:color w:val="000000"/>
          <w:kern w:val="0"/>
          <w:szCs w:val="32"/>
        </w:rPr>
        <w:t>（三）全日制研究生课程排课规则：公共课不能3节或3节以上连排；专业理论课不能4节或4节以上连排；周学时大于3的课程应至少</w:t>
      </w:r>
      <w:r>
        <w:rPr>
          <w:rFonts w:hint="eastAsia"/>
          <w:kern w:val="0"/>
          <w:szCs w:val="32"/>
        </w:rPr>
        <w:t>间隔一天</w:t>
      </w:r>
      <w:r>
        <w:rPr>
          <w:rFonts w:hint="eastAsia"/>
          <w:color w:val="000000"/>
          <w:kern w:val="0"/>
          <w:szCs w:val="32"/>
        </w:rPr>
        <w:t>排课。</w:t>
      </w:r>
    </w:p>
    <w:p>
      <w:pPr>
        <w:widowControl/>
        <w:spacing w:line="540" w:lineRule="exact"/>
        <w:ind w:firstLine="624" w:firstLineChars="200"/>
        <w:jc w:val="both"/>
        <w:rPr>
          <w:color w:val="000000"/>
          <w:kern w:val="0"/>
          <w:szCs w:val="32"/>
        </w:rPr>
      </w:pPr>
      <w:r>
        <w:rPr>
          <w:rFonts w:hint="eastAsia"/>
          <w:b/>
          <w:bCs/>
          <w:color w:val="000000"/>
          <w:kern w:val="0"/>
          <w:szCs w:val="32"/>
        </w:rPr>
        <w:t xml:space="preserve">第九条 </w:t>
      </w:r>
      <w:r>
        <w:rPr>
          <w:rFonts w:hint="eastAsia"/>
          <w:color w:val="000000"/>
          <w:kern w:val="0"/>
          <w:szCs w:val="32"/>
        </w:rPr>
        <w:t>课程编码所在单位就是课程开课单位，开课单位负责排课（含教务系统排课）。对于需要安排教学进度的课程，由开课单位在排课时指定教学进度制定单位，教学进度制定单位负责安排课程教学进度（含教务系统教学进度）。</w:t>
      </w:r>
    </w:p>
    <w:p>
      <w:pPr>
        <w:widowControl/>
        <w:spacing w:line="540" w:lineRule="exact"/>
        <w:ind w:firstLine="624" w:firstLineChars="200"/>
        <w:jc w:val="both"/>
        <w:rPr>
          <w:strike/>
          <w:color w:val="000000"/>
          <w:kern w:val="0"/>
          <w:szCs w:val="32"/>
        </w:rPr>
      </w:pPr>
      <w:r>
        <w:rPr>
          <w:rFonts w:hint="eastAsia"/>
          <w:b/>
          <w:bCs/>
          <w:color w:val="000000"/>
          <w:kern w:val="0"/>
          <w:szCs w:val="32"/>
        </w:rPr>
        <w:t>第十条</w:t>
      </w:r>
      <w:r>
        <w:rPr>
          <w:rFonts w:hint="eastAsia"/>
          <w:color w:val="000000"/>
          <w:kern w:val="0"/>
          <w:szCs w:val="32"/>
        </w:rPr>
        <w:t xml:space="preserve"> 开课单位应优先安排在岗在校教授每个学年为本科生讲授专业课，教师个人的本科课程教学工作量应达到学校关于教师工作量考核标准的相关规定及聘任合同相关规定。</w:t>
      </w:r>
    </w:p>
    <w:p>
      <w:pPr>
        <w:spacing w:line="540" w:lineRule="exact"/>
        <w:ind w:firstLine="624" w:firstLineChars="200"/>
        <w:jc w:val="both"/>
        <w:rPr>
          <w:rFonts w:ascii="仿宋_GB2312" w:hAnsi="宋体"/>
          <w:bCs/>
          <w:color w:val="000000"/>
          <w:szCs w:val="32"/>
        </w:rPr>
      </w:pPr>
      <w:r>
        <w:rPr>
          <w:rFonts w:hint="eastAsia" w:ascii="仿宋_GB2312" w:hAnsi="宋体"/>
          <w:b/>
          <w:color w:val="000000"/>
          <w:szCs w:val="32"/>
        </w:rPr>
        <w:t xml:space="preserve">第十一条 </w:t>
      </w:r>
      <w:r>
        <w:rPr>
          <w:rFonts w:hint="eastAsia" w:ascii="仿宋_GB2312" w:hAnsi="宋体"/>
          <w:bCs/>
          <w:color w:val="000000"/>
          <w:szCs w:val="32"/>
        </w:rPr>
        <w:t>教务部统筹组织本科生选课，教学班选课人数达到规定要求才给予开班。研究生课程开班要求参照《中山大学研究生课程管理办法》执行。</w:t>
      </w:r>
    </w:p>
    <w:p>
      <w:pPr>
        <w:spacing w:line="540" w:lineRule="exact"/>
        <w:ind w:firstLine="624" w:firstLineChars="200"/>
        <w:jc w:val="both"/>
        <w:rPr>
          <w:rFonts w:ascii="仿宋_GB2312" w:hAnsi="仿宋_GB2312" w:cs="仿宋_GB2312"/>
          <w:color w:val="000000"/>
          <w:szCs w:val="32"/>
        </w:rPr>
      </w:pPr>
      <w:r>
        <w:rPr>
          <w:rFonts w:hint="eastAsia" w:ascii="仿宋_GB2312" w:hAnsi="宋体"/>
          <w:bCs/>
          <w:color w:val="000000"/>
          <w:szCs w:val="32"/>
        </w:rPr>
        <w:t>（一）对于本科专业课程，</w:t>
      </w:r>
      <w:r>
        <w:rPr>
          <w:rFonts w:hint="eastAsia" w:ascii="仿宋_GB2312" w:hAnsi="仿宋_GB2312" w:cs="仿宋_GB2312"/>
          <w:color w:val="000000"/>
          <w:szCs w:val="32"/>
        </w:rPr>
        <w:t>教学班选课人数达到15人及以上，或者教学班选课人数达到面向开设年级专业人数的1/3及以上，给予开班，否则不予开班（本硕贯通课程、小语种课程、实验实践类课程、拔尖班课程、强基班课程等除外）；对于本科通识教育课程（公共选修课程），教学班选课人数达到15人及以上给予开班，否则不予开班。</w:t>
      </w:r>
    </w:p>
    <w:p>
      <w:pPr>
        <w:spacing w:line="54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（二）因教学班选课人数不符合以上开班条件，开课单位应于开学初选课正式结束后立即取消开班（含在本科教务系统上做处理）。</w:t>
      </w:r>
    </w:p>
    <w:p>
      <w:pPr>
        <w:widowControl/>
        <w:spacing w:line="540" w:lineRule="exact"/>
        <w:ind w:firstLine="624" w:firstLineChars="200"/>
        <w:jc w:val="both"/>
        <w:rPr>
          <w:bCs/>
          <w:color w:val="000000"/>
          <w:kern w:val="0"/>
          <w:szCs w:val="32"/>
        </w:rPr>
      </w:pPr>
      <w:r>
        <w:rPr>
          <w:rFonts w:hint="eastAsia"/>
          <w:b/>
          <w:color w:val="000000"/>
          <w:kern w:val="0"/>
          <w:szCs w:val="32"/>
        </w:rPr>
        <w:t xml:space="preserve">第十二条 </w:t>
      </w:r>
      <w:r>
        <w:rPr>
          <w:rFonts w:hint="eastAsia"/>
          <w:bCs/>
          <w:color w:val="000000"/>
          <w:kern w:val="0"/>
          <w:szCs w:val="32"/>
        </w:rPr>
        <w:t>开课单位</w:t>
      </w:r>
      <w:r>
        <w:rPr>
          <w:rFonts w:hint="eastAsia" w:ascii="仿宋_GB2312"/>
          <w:szCs w:val="32"/>
        </w:rPr>
        <w:t>根据教学需要，拟</w:t>
      </w:r>
      <w:r>
        <w:rPr>
          <w:rFonts w:hint="eastAsia" w:ascii="仿宋_GB2312"/>
          <w:color w:val="000000"/>
          <w:szCs w:val="32"/>
        </w:rPr>
        <w:t>自筹经费临时聘请校外教师或本校退休教师承担授课任务（</w:t>
      </w:r>
      <w:r>
        <w:rPr>
          <w:rFonts w:hint="eastAsia" w:ascii="仿宋_GB2312"/>
          <w:szCs w:val="32"/>
        </w:rPr>
        <w:t>作为课程任课教师）</w:t>
      </w:r>
      <w:r>
        <w:rPr>
          <w:rFonts w:hint="eastAsia"/>
          <w:bCs/>
          <w:color w:val="000000"/>
          <w:kern w:val="0"/>
          <w:szCs w:val="32"/>
        </w:rPr>
        <w:t>，须根据中山大学临时短聘教师申报流程的要求履行申报。</w:t>
      </w:r>
    </w:p>
    <w:p>
      <w:pPr>
        <w:widowControl/>
        <w:spacing w:line="540" w:lineRule="exact"/>
        <w:ind w:firstLine="624" w:firstLineChars="200"/>
        <w:jc w:val="both"/>
        <w:rPr>
          <w:color w:val="000000"/>
          <w:kern w:val="0"/>
          <w:szCs w:val="32"/>
        </w:rPr>
      </w:pPr>
      <w:r>
        <w:rPr>
          <w:rFonts w:hint="eastAsia"/>
          <w:bCs/>
          <w:color w:val="000000"/>
          <w:kern w:val="0"/>
          <w:szCs w:val="32"/>
        </w:rPr>
        <w:t>（一）开课</w:t>
      </w:r>
      <w:r>
        <w:rPr>
          <w:rFonts w:hint="eastAsia"/>
          <w:color w:val="000000"/>
          <w:kern w:val="0"/>
          <w:szCs w:val="32"/>
        </w:rPr>
        <w:t>单位须首先对临时短聘教师的资质和师德师风等进行综合评估，党政负责人（主管教学负责人和党委书记）须审核聘请的必要性和意识形态风险。</w:t>
      </w:r>
    </w:p>
    <w:p>
      <w:pPr>
        <w:widowControl/>
        <w:spacing w:line="540" w:lineRule="exact"/>
        <w:ind w:firstLine="624" w:firstLineChars="200"/>
        <w:jc w:val="both"/>
        <w:rPr>
          <w:rFonts w:ascii="仿宋_GB2312" w:hAnsi="仿宋_GB2312" w:cs="仿宋_GB2312"/>
          <w:color w:val="000000"/>
          <w:kern w:val="0"/>
          <w:szCs w:val="32"/>
        </w:rPr>
      </w:pPr>
      <w:r>
        <w:rPr>
          <w:rFonts w:hint="eastAsia"/>
          <w:color w:val="000000"/>
          <w:kern w:val="0"/>
          <w:szCs w:val="32"/>
        </w:rPr>
        <w:t>（二）开课单位提交经单位党政负责人签批实质性意见后的《中山大学临时短聘教师申请表》，国际合作与交流处（港澳台事务办公室）负责审核境外临时短聘教师的身份背景，教务部负责审核本科课程信息，研究生院负责审核研究生课程信</w:t>
      </w:r>
      <w:r>
        <w:rPr>
          <w:rFonts w:hint="eastAsia" w:ascii="仿宋_GB2312" w:hAnsi="仿宋_GB2312" w:cs="仿宋_GB2312"/>
          <w:color w:val="000000"/>
          <w:kern w:val="0"/>
          <w:szCs w:val="32"/>
        </w:rPr>
        <w:t>息，人力资源管理处负责教师聘用审批。</w:t>
      </w:r>
    </w:p>
    <w:p>
      <w:pPr>
        <w:widowControl/>
        <w:spacing w:line="540" w:lineRule="exact"/>
        <w:ind w:firstLine="624" w:firstLineChars="200"/>
        <w:jc w:val="both"/>
        <w:rPr>
          <w:rFonts w:ascii="仿宋_GB2312" w:hAnsi="仿宋_GB2312" w:cs="仿宋_GB2312"/>
          <w:color w:val="000000"/>
          <w:kern w:val="0"/>
          <w:szCs w:val="32"/>
        </w:rPr>
      </w:pPr>
      <w:r>
        <w:rPr>
          <w:rFonts w:hint="eastAsia" w:ascii="仿宋_GB2312" w:hAnsi="仿宋_GB2312" w:cs="仿宋_GB2312"/>
          <w:b/>
          <w:color w:val="000000"/>
          <w:kern w:val="0"/>
          <w:szCs w:val="32"/>
        </w:rPr>
        <w:t xml:space="preserve">第十三条 </w:t>
      </w:r>
      <w:r>
        <w:rPr>
          <w:rFonts w:hint="eastAsia" w:ascii="仿宋_GB2312" w:hAnsi="仿宋_GB2312" w:cs="仿宋_GB2312"/>
          <w:bCs/>
          <w:color w:val="000000"/>
          <w:kern w:val="0"/>
          <w:szCs w:val="32"/>
        </w:rPr>
        <w:t>开课单位</w:t>
      </w:r>
      <w:r>
        <w:rPr>
          <w:rFonts w:hint="eastAsia" w:ascii="仿宋_GB2312" w:hAnsi="仿宋_GB2312" w:cs="仿宋_GB2312"/>
          <w:szCs w:val="32"/>
        </w:rPr>
        <w:t>根据教学需要，</w:t>
      </w:r>
      <w:r>
        <w:rPr>
          <w:rFonts w:hint="eastAsia" w:ascii="仿宋_GB2312" w:hAnsi="仿宋_GB2312" w:cs="仿宋_GB2312"/>
          <w:color w:val="000000"/>
          <w:szCs w:val="32"/>
        </w:rPr>
        <w:t>拟聘请高年资教师承担课程授课任务（</w:t>
      </w:r>
      <w:r>
        <w:rPr>
          <w:rFonts w:hint="eastAsia" w:ascii="仿宋_GB2312" w:hAnsi="仿宋_GB2312" w:cs="仿宋_GB2312"/>
          <w:szCs w:val="32"/>
        </w:rPr>
        <w:t>作为课程任课教师）</w:t>
      </w:r>
      <w:r>
        <w:rPr>
          <w:rFonts w:hint="eastAsia" w:ascii="仿宋_GB2312" w:hAnsi="仿宋_GB2312" w:cs="仿宋_GB2312"/>
          <w:bCs/>
          <w:color w:val="000000"/>
          <w:kern w:val="0"/>
          <w:szCs w:val="32"/>
        </w:rPr>
        <w:t>，须依据</w:t>
      </w:r>
      <w:r>
        <w:rPr>
          <w:rFonts w:hint="eastAsia" w:ascii="仿宋_GB2312" w:hAnsi="仿宋_GB2312" w:cs="仿宋_GB2312"/>
          <w:szCs w:val="32"/>
        </w:rPr>
        <w:t>学校高年资教师实施办法有关规定</w:t>
      </w:r>
      <w:r>
        <w:rPr>
          <w:rFonts w:hint="eastAsia" w:ascii="仿宋_GB2312" w:hAnsi="仿宋_GB2312" w:cs="仿宋_GB2312"/>
          <w:bCs/>
          <w:color w:val="000000"/>
          <w:kern w:val="0"/>
          <w:szCs w:val="32"/>
        </w:rPr>
        <w:t>执行。</w:t>
      </w:r>
    </w:p>
    <w:p>
      <w:pPr>
        <w:widowControl/>
        <w:spacing w:line="540" w:lineRule="exact"/>
        <w:ind w:firstLine="624" w:firstLineChars="200"/>
        <w:jc w:val="both"/>
        <w:rPr>
          <w:bCs/>
          <w:color w:val="000000"/>
          <w:kern w:val="0"/>
          <w:szCs w:val="32"/>
        </w:rPr>
      </w:pPr>
      <w:r>
        <w:rPr>
          <w:rFonts w:hint="eastAsia" w:ascii="仿宋_GB2312" w:hAnsi="仿宋_GB2312" w:cs="仿宋_GB2312"/>
          <w:b/>
          <w:bCs/>
          <w:color w:val="000000"/>
          <w:kern w:val="0"/>
          <w:szCs w:val="32"/>
        </w:rPr>
        <w:t>第十四条</w:t>
      </w:r>
      <w:r>
        <w:rPr>
          <w:rFonts w:hint="eastAsia" w:ascii="仿宋_GB2312" w:hAnsi="仿宋_GB2312" w:cs="仿宋_GB2312"/>
          <w:color w:val="000000"/>
          <w:kern w:val="0"/>
          <w:szCs w:val="32"/>
        </w:rPr>
        <w:t xml:space="preserve"> 开课单位因课程教学需要，拟聘请校外人员（含</w:t>
      </w:r>
      <w:r>
        <w:rPr>
          <w:rFonts w:hint="eastAsia"/>
          <w:color w:val="000000"/>
          <w:kern w:val="0"/>
          <w:szCs w:val="32"/>
        </w:rPr>
        <w:t>境内和境外）临时参与一堂或多堂的课程教学（任课教师须全程在场），</w:t>
      </w:r>
      <w:r>
        <w:rPr>
          <w:rFonts w:hint="eastAsia"/>
          <w:bCs/>
          <w:color w:val="000000"/>
          <w:kern w:val="0"/>
          <w:szCs w:val="32"/>
        </w:rPr>
        <w:t>须根据中山大学聘请校外人员临时参与课堂教学申报流程的要求履行申报。</w:t>
      </w:r>
    </w:p>
    <w:p>
      <w:pPr>
        <w:widowControl/>
        <w:spacing w:line="540" w:lineRule="exact"/>
        <w:ind w:firstLine="624" w:firstLineChars="200"/>
        <w:jc w:val="both"/>
        <w:rPr>
          <w:color w:val="000000"/>
          <w:kern w:val="0"/>
          <w:szCs w:val="32"/>
        </w:rPr>
      </w:pPr>
      <w:r>
        <w:rPr>
          <w:rFonts w:hint="eastAsia"/>
          <w:bCs/>
          <w:color w:val="000000"/>
          <w:kern w:val="0"/>
          <w:szCs w:val="32"/>
        </w:rPr>
        <w:t>（一）开课</w:t>
      </w:r>
      <w:r>
        <w:rPr>
          <w:rFonts w:hint="eastAsia"/>
          <w:color w:val="000000"/>
          <w:kern w:val="0"/>
          <w:szCs w:val="32"/>
        </w:rPr>
        <w:t>单位须首先对校外人员的资质进行综合评估，党政负责人（主管教学负责人和党委书记）须审核聘请的必要性和意识形态风险。</w:t>
      </w:r>
    </w:p>
    <w:p>
      <w:pPr>
        <w:widowControl/>
        <w:spacing w:line="540" w:lineRule="exact"/>
        <w:ind w:firstLine="624" w:firstLineChars="200"/>
        <w:jc w:val="both"/>
        <w:rPr>
          <w:color w:val="000000"/>
          <w:kern w:val="0"/>
          <w:szCs w:val="32"/>
        </w:rPr>
      </w:pPr>
      <w:r>
        <w:rPr>
          <w:rFonts w:hint="eastAsia"/>
          <w:color w:val="000000"/>
          <w:kern w:val="0"/>
          <w:szCs w:val="32"/>
        </w:rPr>
        <w:t>（二）开课单位提交经单位党政负责人签批实质性意见后的《中山大学聘请校外人员临时参与课堂教学申请表》，国际合作与交流处（港澳台事务办公室）负责审核境外校外人员的身份背景，教务部负责备案。</w:t>
      </w:r>
    </w:p>
    <w:p>
      <w:pPr>
        <w:pStyle w:val="2"/>
        <w:spacing w:line="540" w:lineRule="exact"/>
        <w:ind w:firstLine="640"/>
        <w:jc w:val="both"/>
        <w:rPr>
          <w:rFonts w:ascii="仿宋_GB2312" w:hAnsi="仿宋_GB2312" w:cs="仿宋_GB2312"/>
          <w:color w:val="000000"/>
          <w:sz w:val="32"/>
          <w:szCs w:val="32"/>
        </w:rPr>
      </w:pPr>
      <w:r>
        <w:rPr>
          <w:rFonts w:hint="eastAsia" w:ascii="仿宋_GB2312" w:hAnsi="宋体"/>
          <w:b/>
          <w:color w:val="000000"/>
          <w:sz w:val="32"/>
          <w:szCs w:val="32"/>
        </w:rPr>
        <w:t>第十五条</w:t>
      </w:r>
      <w:r>
        <w:rPr>
          <w:rFonts w:hint="eastAsia" w:ascii="仿宋_GB2312" w:hAnsi="宋体"/>
          <w:color w:val="000000"/>
          <w:sz w:val="32"/>
          <w:szCs w:val="32"/>
        </w:rPr>
        <w:t xml:space="preserve"> </w:t>
      </w:r>
      <w:r>
        <w:rPr>
          <w:rFonts w:hint="eastAsia" w:ascii="仿宋_GB2312" w:hAnsi="仿宋_GB2312" w:cs="仿宋_GB2312"/>
          <w:color w:val="000000"/>
          <w:sz w:val="32"/>
          <w:szCs w:val="32"/>
        </w:rPr>
        <w:t>如实际课程教学安排（含上课时间、上课地点、任课教师）临时出现与教务系统排课信息不一致的情况即为调停课。</w:t>
      </w:r>
    </w:p>
    <w:p>
      <w:pPr>
        <w:pStyle w:val="2"/>
        <w:spacing w:line="540" w:lineRule="exact"/>
        <w:ind w:firstLine="640"/>
        <w:jc w:val="both"/>
        <w:rPr>
          <w:rFonts w:ascii="仿宋_GB2312" w:hAnsi="仿宋_GB2312" w:cs="仿宋_GB2312"/>
          <w:color w:val="000000"/>
          <w:sz w:val="32"/>
          <w:szCs w:val="32"/>
        </w:rPr>
      </w:pPr>
      <w:r>
        <w:rPr>
          <w:rFonts w:hint="eastAsia" w:ascii="仿宋_GB2312" w:hAnsi="仿宋_GB2312" w:cs="仿宋_GB2312"/>
          <w:color w:val="000000"/>
          <w:sz w:val="32"/>
          <w:szCs w:val="32"/>
        </w:rPr>
        <w:t>（一）</w:t>
      </w:r>
      <w:r>
        <w:rPr>
          <w:rFonts w:hint="eastAsia" w:ascii="仿宋_GB2312" w:hAnsi="宋体"/>
          <w:color w:val="000000"/>
          <w:sz w:val="32"/>
          <w:szCs w:val="32"/>
        </w:rPr>
        <w:t>鉴于课堂教学活动的严肃性，课程教学安排公布后不得随意调停课。</w:t>
      </w:r>
      <w:r>
        <w:rPr>
          <w:rFonts w:hint="eastAsia" w:ascii="仿宋_GB2312" w:hAnsi="仿宋_GB2312" w:cs="仿宋_GB2312"/>
          <w:color w:val="000000"/>
          <w:sz w:val="32"/>
          <w:szCs w:val="32"/>
        </w:rPr>
        <w:t>各教学单位须慎重处理调停课，调停课次数与院系年终绩效挂钩。</w:t>
      </w:r>
    </w:p>
    <w:p>
      <w:pPr>
        <w:pStyle w:val="2"/>
        <w:spacing w:line="540" w:lineRule="exact"/>
        <w:ind w:firstLine="640"/>
        <w:jc w:val="both"/>
        <w:rPr>
          <w:color w:val="000000"/>
          <w:sz w:val="32"/>
          <w:szCs w:val="32"/>
        </w:rPr>
      </w:pPr>
      <w:r>
        <w:rPr>
          <w:rFonts w:hint="eastAsia" w:ascii="仿宋_GB2312" w:hAnsi="仿宋_GB2312" w:cs="仿宋_GB2312"/>
          <w:color w:val="000000"/>
          <w:sz w:val="32"/>
          <w:szCs w:val="32"/>
        </w:rPr>
        <w:t>（二）</w:t>
      </w:r>
      <w:r>
        <w:rPr>
          <w:rFonts w:hint="eastAsia" w:ascii="仿宋_GB2312" w:hAnsi="宋体" w:cs="宋体"/>
          <w:color w:val="000000"/>
          <w:kern w:val="0"/>
          <w:sz w:val="32"/>
          <w:szCs w:val="32"/>
        </w:rPr>
        <w:t>任课教师</w:t>
      </w:r>
      <w:r>
        <w:rPr>
          <w:rFonts w:hint="eastAsia" w:ascii="仿宋_GB2312" w:hAnsi="宋体"/>
          <w:color w:val="000000"/>
          <w:sz w:val="32"/>
          <w:szCs w:val="32"/>
        </w:rPr>
        <w:t>如确有特殊原因需临时调整上课时间、上课地点或任课教师，</w:t>
      </w:r>
      <w:r>
        <w:rPr>
          <w:color w:val="000000"/>
          <w:sz w:val="32"/>
          <w:szCs w:val="32"/>
        </w:rPr>
        <w:t>应及时在教务系统提交调停课申请，</w:t>
      </w:r>
      <w:r>
        <w:rPr>
          <w:rFonts w:hint="eastAsia" w:ascii="仿宋_GB2312" w:hAnsi="宋体"/>
          <w:color w:val="000000"/>
          <w:sz w:val="32"/>
          <w:szCs w:val="32"/>
        </w:rPr>
        <w:t>经开课单位和教师所在单位的主管教学负责人签批意见后报</w:t>
      </w:r>
      <w:r>
        <w:rPr>
          <w:color w:val="000000"/>
          <w:sz w:val="32"/>
          <w:szCs w:val="32"/>
        </w:rPr>
        <w:t>教务部</w:t>
      </w:r>
      <w:r>
        <w:rPr>
          <w:rFonts w:hint="eastAsia"/>
          <w:color w:val="000000"/>
          <w:sz w:val="32"/>
          <w:szCs w:val="32"/>
        </w:rPr>
        <w:t>审批</w:t>
      </w:r>
      <w:r>
        <w:rPr>
          <w:color w:val="000000"/>
          <w:sz w:val="32"/>
          <w:szCs w:val="32"/>
        </w:rPr>
        <w:t>。</w:t>
      </w:r>
    </w:p>
    <w:p>
      <w:pPr>
        <w:pStyle w:val="2"/>
        <w:spacing w:line="540" w:lineRule="exact"/>
        <w:ind w:firstLine="640"/>
        <w:jc w:val="both"/>
        <w:rPr>
          <w:rFonts w:ascii="仿宋_GB2312" w:hAnsi="宋体"/>
          <w:sz w:val="32"/>
          <w:szCs w:val="32"/>
        </w:rPr>
      </w:pPr>
      <w:r>
        <w:rPr>
          <w:rFonts w:hint="eastAsia"/>
          <w:color w:val="000000"/>
          <w:sz w:val="32"/>
          <w:szCs w:val="32"/>
        </w:rPr>
        <w:t>（三）</w:t>
      </w:r>
      <w:r>
        <w:rPr>
          <w:color w:val="000000"/>
          <w:sz w:val="32"/>
          <w:szCs w:val="32"/>
        </w:rPr>
        <w:t>在教学检查过程中如发现未经报备随意调停课，按照</w:t>
      </w:r>
      <w:r>
        <w:rPr>
          <w:rFonts w:hint="eastAsia"/>
          <w:color w:val="000000"/>
          <w:sz w:val="32"/>
          <w:szCs w:val="32"/>
        </w:rPr>
        <w:t>《中山大学教师本科教学工作规程》有关规定认定</w:t>
      </w:r>
      <w:r>
        <w:rPr>
          <w:color w:val="000000"/>
          <w:sz w:val="32"/>
          <w:szCs w:val="32"/>
        </w:rPr>
        <w:t>处理。</w:t>
      </w:r>
    </w:p>
    <w:p>
      <w:pPr>
        <w:pStyle w:val="2"/>
        <w:spacing w:line="540" w:lineRule="exact"/>
        <w:ind w:firstLine="640"/>
        <w:jc w:val="both"/>
        <w:rPr>
          <w:color w:val="000000"/>
          <w:sz w:val="32"/>
          <w:szCs w:val="32"/>
        </w:rPr>
      </w:pPr>
      <w:r>
        <w:rPr>
          <w:rFonts w:hint="eastAsia"/>
          <w:b/>
          <w:bCs w:val="0"/>
          <w:color w:val="000000"/>
          <w:sz w:val="32"/>
          <w:szCs w:val="32"/>
        </w:rPr>
        <w:t xml:space="preserve">第十六条 </w:t>
      </w:r>
      <w:r>
        <w:rPr>
          <w:color w:val="000000"/>
          <w:sz w:val="32"/>
          <w:szCs w:val="32"/>
        </w:rPr>
        <w:t>任课教师应</w:t>
      </w:r>
      <w:r>
        <w:rPr>
          <w:rFonts w:hint="eastAsia"/>
          <w:color w:val="000000"/>
          <w:sz w:val="32"/>
          <w:szCs w:val="32"/>
        </w:rPr>
        <w:t>按照</w:t>
      </w:r>
      <w:r>
        <w:rPr>
          <w:color w:val="000000"/>
          <w:sz w:val="32"/>
          <w:szCs w:val="32"/>
        </w:rPr>
        <w:t>教务系统中的课表或进度</w:t>
      </w:r>
      <w:r>
        <w:rPr>
          <w:rFonts w:hint="eastAsia"/>
          <w:color w:val="000000"/>
          <w:sz w:val="32"/>
          <w:szCs w:val="32"/>
        </w:rPr>
        <w:t>安排</w:t>
      </w:r>
      <w:r>
        <w:rPr>
          <w:color w:val="000000"/>
          <w:sz w:val="32"/>
          <w:szCs w:val="32"/>
        </w:rPr>
        <w:t>讲授课程。</w:t>
      </w:r>
      <w:r>
        <w:rPr>
          <w:rFonts w:hint="eastAsia"/>
          <w:bCs w:val="0"/>
          <w:color w:val="000000"/>
          <w:sz w:val="32"/>
          <w:szCs w:val="32"/>
        </w:rPr>
        <w:t>严禁</w:t>
      </w:r>
      <w:r>
        <w:rPr>
          <w:bCs w:val="0"/>
          <w:color w:val="000000"/>
          <w:sz w:val="32"/>
          <w:szCs w:val="32"/>
        </w:rPr>
        <w:t>用整堂的辅助教学（含视频、讲座、报告、辅导、答疑、做题、随堂考试等形式）代替</w:t>
      </w:r>
      <w:r>
        <w:rPr>
          <w:rFonts w:hint="eastAsia"/>
          <w:bCs w:val="0"/>
          <w:color w:val="000000"/>
          <w:sz w:val="32"/>
          <w:szCs w:val="32"/>
        </w:rPr>
        <w:t>讲授课程</w:t>
      </w:r>
      <w:r>
        <w:rPr>
          <w:bCs w:val="0"/>
          <w:color w:val="000000"/>
          <w:sz w:val="32"/>
          <w:szCs w:val="32"/>
        </w:rPr>
        <w:t>。</w:t>
      </w:r>
      <w:r>
        <w:rPr>
          <w:color w:val="000000"/>
          <w:sz w:val="32"/>
          <w:szCs w:val="32"/>
        </w:rPr>
        <w:t>任课教师如需</w:t>
      </w:r>
      <w:r>
        <w:rPr>
          <w:rFonts w:hint="eastAsia"/>
          <w:color w:val="000000"/>
          <w:sz w:val="32"/>
          <w:szCs w:val="32"/>
        </w:rPr>
        <w:t>整堂</w:t>
      </w:r>
      <w:r>
        <w:rPr>
          <w:color w:val="000000"/>
          <w:sz w:val="32"/>
          <w:szCs w:val="32"/>
        </w:rPr>
        <w:t>开展辅助教学，应额外安排时间，不能占用课堂教学计划内时间。</w:t>
      </w:r>
    </w:p>
    <w:p>
      <w:pPr>
        <w:pStyle w:val="2"/>
        <w:spacing w:line="540" w:lineRule="exact"/>
        <w:ind w:firstLine="640"/>
        <w:jc w:val="both"/>
        <w:rPr>
          <w:color w:val="000000"/>
          <w:sz w:val="32"/>
          <w:szCs w:val="32"/>
        </w:rPr>
      </w:pPr>
      <w:r>
        <w:rPr>
          <w:rFonts w:hint="eastAsia"/>
          <w:b/>
          <w:bCs w:val="0"/>
          <w:color w:val="000000"/>
          <w:sz w:val="32"/>
          <w:szCs w:val="32"/>
        </w:rPr>
        <w:t xml:space="preserve">第十七条 </w:t>
      </w:r>
      <w:r>
        <w:rPr>
          <w:color w:val="000000"/>
          <w:sz w:val="32"/>
          <w:szCs w:val="32"/>
        </w:rPr>
        <w:t>研究生助教不能独立代课</w:t>
      </w:r>
      <w:r>
        <w:rPr>
          <w:rFonts w:hint="eastAsia"/>
          <w:color w:val="000000"/>
          <w:sz w:val="32"/>
          <w:szCs w:val="32"/>
        </w:rPr>
        <w:t>，</w:t>
      </w:r>
      <w:r>
        <w:rPr>
          <w:bCs w:val="0"/>
          <w:color w:val="000000"/>
          <w:sz w:val="32"/>
          <w:szCs w:val="32"/>
        </w:rPr>
        <w:t>只能协助任课教师开展辅导、答疑等辅助教学</w:t>
      </w:r>
      <w:r>
        <w:rPr>
          <w:rFonts w:hint="eastAsia"/>
          <w:bCs w:val="0"/>
          <w:color w:val="000000"/>
          <w:sz w:val="32"/>
          <w:szCs w:val="32"/>
        </w:rPr>
        <w:t>工作</w:t>
      </w:r>
      <w:r>
        <w:rPr>
          <w:bCs w:val="0"/>
          <w:color w:val="000000"/>
          <w:sz w:val="32"/>
          <w:szCs w:val="32"/>
        </w:rPr>
        <w:t>，</w:t>
      </w:r>
      <w:r>
        <w:rPr>
          <w:rFonts w:hint="eastAsia"/>
          <w:bCs w:val="0"/>
          <w:color w:val="000000"/>
          <w:sz w:val="32"/>
          <w:szCs w:val="32"/>
        </w:rPr>
        <w:t>课堂教学须</w:t>
      </w:r>
      <w:r>
        <w:rPr>
          <w:bCs w:val="0"/>
          <w:color w:val="000000"/>
          <w:sz w:val="32"/>
          <w:szCs w:val="32"/>
        </w:rPr>
        <w:t>以任课教师主讲为主。</w:t>
      </w:r>
      <w:r>
        <w:rPr>
          <w:color w:val="000000"/>
          <w:sz w:val="32"/>
          <w:szCs w:val="32"/>
        </w:rPr>
        <w:t>如实验课需安排研究生助教协助带教，任课教师应</w:t>
      </w:r>
      <w:r>
        <w:rPr>
          <w:rFonts w:hint="eastAsia"/>
          <w:color w:val="000000"/>
          <w:sz w:val="32"/>
          <w:szCs w:val="32"/>
        </w:rPr>
        <w:t>全程</w:t>
      </w:r>
      <w:r>
        <w:rPr>
          <w:color w:val="000000"/>
          <w:sz w:val="32"/>
          <w:szCs w:val="32"/>
        </w:rPr>
        <w:t>在场指导。</w:t>
      </w:r>
    </w:p>
    <w:p>
      <w:pPr>
        <w:spacing w:line="540" w:lineRule="exact"/>
        <w:ind w:firstLine="624" w:firstLineChars="200"/>
        <w:jc w:val="both"/>
        <w:rPr>
          <w:rFonts w:ascii="仿宋_GB2312" w:hAnsi="宋体" w:cs="宋体"/>
          <w:color w:val="000000"/>
          <w:kern w:val="0"/>
          <w:szCs w:val="32"/>
        </w:rPr>
      </w:pPr>
      <w:r>
        <w:rPr>
          <w:rFonts w:hint="eastAsia" w:ascii="仿宋_GB2312" w:hAnsi="宋体"/>
          <w:b/>
          <w:color w:val="000000"/>
          <w:szCs w:val="32"/>
        </w:rPr>
        <w:t>第十八条</w:t>
      </w:r>
      <w:r>
        <w:rPr>
          <w:rFonts w:hint="eastAsia" w:ascii="仿宋_GB2312" w:hAnsi="宋体"/>
          <w:color w:val="000000"/>
          <w:szCs w:val="32"/>
        </w:rPr>
        <w:t xml:space="preserve"> 各教学单位组织教师开展教学工作的基本要求应符合《中山大学教师本科教学工作规程》《中山大学课堂教学管理办法》《中山大学研究生课程管理办法》的有关规定，</w:t>
      </w:r>
      <w:r>
        <w:rPr>
          <w:rFonts w:hint="eastAsia" w:ascii="仿宋_GB2312" w:hAnsi="宋体" w:cs="宋体"/>
          <w:color w:val="000000"/>
          <w:kern w:val="0"/>
          <w:szCs w:val="32"/>
        </w:rPr>
        <w:t>教材选用依照学校教材管理相关规定执行。</w:t>
      </w:r>
    </w:p>
    <w:p>
      <w:pPr>
        <w:spacing w:line="540" w:lineRule="exact"/>
        <w:ind w:firstLine="624" w:firstLineChars="200"/>
        <w:jc w:val="both"/>
        <w:rPr>
          <w:rFonts w:ascii="仿宋_GB2312" w:hAnsi="宋体"/>
          <w:b/>
          <w:color w:val="000000"/>
          <w:szCs w:val="32"/>
        </w:rPr>
      </w:pPr>
    </w:p>
    <w:p>
      <w:pPr>
        <w:spacing w:line="540" w:lineRule="exact"/>
        <w:jc w:val="center"/>
        <w:rPr>
          <w:rFonts w:ascii="仿宋_GB2312" w:hAnsi="宋体" w:eastAsia="黑体"/>
          <w:b/>
          <w:color w:val="000000"/>
          <w:szCs w:val="32"/>
        </w:rPr>
      </w:pPr>
      <w:r>
        <w:rPr>
          <w:rFonts w:hint="eastAsia" w:ascii="黑体" w:hAnsi="黑体" w:eastAsia="黑体" w:cs="黑体"/>
          <w:bCs/>
          <w:color w:val="000000"/>
          <w:kern w:val="0"/>
          <w:szCs w:val="32"/>
        </w:rPr>
        <w:t>第四章  责任追究</w:t>
      </w:r>
    </w:p>
    <w:p>
      <w:pPr>
        <w:widowControl/>
        <w:spacing w:line="540" w:lineRule="exact"/>
        <w:ind w:firstLine="624" w:firstLineChars="200"/>
        <w:jc w:val="both"/>
        <w:rPr>
          <w:snapToGrid w:val="0"/>
          <w:color w:val="000000"/>
          <w:kern w:val="0"/>
          <w:szCs w:val="32"/>
        </w:rPr>
      </w:pPr>
      <w:r>
        <w:rPr>
          <w:rFonts w:hint="eastAsia" w:ascii="仿宋_GB2312" w:hAnsi="宋体"/>
          <w:b/>
          <w:color w:val="000000"/>
          <w:szCs w:val="32"/>
        </w:rPr>
        <w:t>第十九条</w:t>
      </w:r>
      <w:r>
        <w:rPr>
          <w:rFonts w:hint="eastAsia" w:ascii="仿宋_GB2312" w:hAnsi="宋体"/>
          <w:color w:val="000000"/>
          <w:szCs w:val="32"/>
        </w:rPr>
        <w:t xml:space="preserve"> </w:t>
      </w:r>
      <w:r>
        <w:rPr>
          <w:rFonts w:hint="eastAsia" w:ascii="仿宋_GB2312" w:hAnsi="宋体" w:cs="宋体"/>
          <w:color w:val="000000"/>
          <w:kern w:val="0"/>
          <w:szCs w:val="32"/>
        </w:rPr>
        <w:t>对违反课堂教学纪律和教学秩序行为的，学校教学管理部门应认真查实，提出初步处理意见报分管校领</w:t>
      </w:r>
      <w:r>
        <w:rPr>
          <w:rFonts w:ascii="仿宋_GB2312" w:hAnsi="宋体" w:cs="宋体"/>
          <w:color w:val="000000"/>
          <w:kern w:val="0"/>
          <w:szCs w:val="32"/>
        </w:rPr>
        <w:t>导</w:t>
      </w:r>
      <w:r>
        <w:rPr>
          <w:rFonts w:hint="eastAsia" w:ascii="仿宋_GB2312" w:hAnsi="宋体" w:cs="宋体"/>
          <w:color w:val="000000"/>
          <w:kern w:val="0"/>
          <w:szCs w:val="32"/>
        </w:rPr>
        <w:t>审批。</w:t>
      </w:r>
      <w:r>
        <w:rPr>
          <w:rFonts w:hint="eastAsia"/>
          <w:snapToGrid w:val="0"/>
          <w:color w:val="000000"/>
          <w:kern w:val="0"/>
          <w:szCs w:val="32"/>
        </w:rPr>
        <w:t>根据行为的性质、情节及所造成后果的严重程度，采取以下措施：</w:t>
      </w:r>
    </w:p>
    <w:p>
      <w:pPr>
        <w:widowControl/>
        <w:spacing w:line="540" w:lineRule="exact"/>
        <w:ind w:firstLine="624" w:firstLineChars="200"/>
        <w:jc w:val="both"/>
        <w:rPr>
          <w:snapToGrid w:val="0"/>
          <w:color w:val="000000"/>
          <w:kern w:val="0"/>
          <w:szCs w:val="32"/>
        </w:rPr>
      </w:pPr>
      <w:r>
        <w:rPr>
          <w:rFonts w:hint="eastAsia"/>
          <w:snapToGrid w:val="0"/>
          <w:color w:val="000000"/>
          <w:kern w:val="0"/>
          <w:szCs w:val="32"/>
        </w:rPr>
        <w:t>（一）批评教育；</w:t>
      </w:r>
    </w:p>
    <w:p>
      <w:pPr>
        <w:widowControl/>
        <w:spacing w:line="540" w:lineRule="exact"/>
        <w:ind w:firstLine="624" w:firstLineChars="200"/>
        <w:jc w:val="both"/>
        <w:rPr>
          <w:snapToGrid w:val="0"/>
          <w:color w:val="000000"/>
          <w:kern w:val="0"/>
          <w:szCs w:val="32"/>
        </w:rPr>
      </w:pPr>
      <w:r>
        <w:rPr>
          <w:rFonts w:hint="eastAsia"/>
          <w:snapToGrid w:val="0"/>
          <w:color w:val="000000"/>
          <w:kern w:val="0"/>
          <w:szCs w:val="32"/>
        </w:rPr>
        <w:t>（二）责令作出书面检查；</w:t>
      </w:r>
    </w:p>
    <w:p>
      <w:pPr>
        <w:widowControl/>
        <w:spacing w:line="540" w:lineRule="exact"/>
        <w:ind w:firstLine="624" w:firstLineChars="200"/>
        <w:jc w:val="both"/>
        <w:rPr>
          <w:snapToGrid w:val="0"/>
          <w:color w:val="000000"/>
          <w:kern w:val="0"/>
          <w:szCs w:val="32"/>
        </w:rPr>
      </w:pPr>
      <w:r>
        <w:rPr>
          <w:rFonts w:hint="eastAsia"/>
          <w:snapToGrid w:val="0"/>
          <w:color w:val="000000"/>
          <w:kern w:val="0"/>
          <w:szCs w:val="32"/>
        </w:rPr>
        <w:t>（三）取消年度教学评先评优资格；</w:t>
      </w:r>
    </w:p>
    <w:p>
      <w:pPr>
        <w:widowControl/>
        <w:spacing w:line="540" w:lineRule="exact"/>
        <w:ind w:firstLine="624" w:firstLineChars="200"/>
        <w:jc w:val="both"/>
        <w:rPr>
          <w:snapToGrid w:val="0"/>
          <w:color w:val="000000"/>
          <w:kern w:val="0"/>
          <w:szCs w:val="32"/>
        </w:rPr>
      </w:pPr>
      <w:r>
        <w:rPr>
          <w:rFonts w:hint="eastAsia"/>
          <w:snapToGrid w:val="0"/>
          <w:color w:val="000000"/>
          <w:kern w:val="0"/>
          <w:szCs w:val="32"/>
        </w:rPr>
        <w:t>（四）扣减年度教学奖励性绩效；</w:t>
      </w:r>
    </w:p>
    <w:p>
      <w:pPr>
        <w:widowControl/>
        <w:spacing w:line="540" w:lineRule="exact"/>
        <w:ind w:firstLine="624" w:firstLineChars="200"/>
        <w:jc w:val="both"/>
        <w:rPr>
          <w:snapToGrid w:val="0"/>
          <w:color w:val="000000"/>
          <w:kern w:val="0"/>
          <w:szCs w:val="32"/>
        </w:rPr>
      </w:pPr>
      <w:r>
        <w:rPr>
          <w:rFonts w:hint="eastAsia"/>
          <w:snapToGrid w:val="0"/>
          <w:color w:val="000000"/>
          <w:kern w:val="0"/>
          <w:szCs w:val="32"/>
        </w:rPr>
        <w:t>（五）法律、法规、规章和学校规定的其他处理措施。</w:t>
      </w:r>
    </w:p>
    <w:p>
      <w:pPr>
        <w:widowControl/>
        <w:spacing w:line="540" w:lineRule="exact"/>
        <w:ind w:firstLine="624" w:firstLineChars="200"/>
        <w:jc w:val="both"/>
        <w:rPr>
          <w:snapToGrid w:val="0"/>
          <w:color w:val="000000"/>
          <w:kern w:val="0"/>
          <w:szCs w:val="32"/>
        </w:rPr>
      </w:pPr>
      <w:r>
        <w:rPr>
          <w:rFonts w:hint="eastAsia"/>
          <w:snapToGrid w:val="0"/>
          <w:color w:val="000000"/>
          <w:kern w:val="0"/>
          <w:szCs w:val="32"/>
        </w:rPr>
        <w:t>以上措施可以单独适用或者合并适用。</w:t>
      </w:r>
    </w:p>
    <w:p>
      <w:pPr>
        <w:spacing w:line="540" w:lineRule="exact"/>
        <w:ind w:firstLine="624" w:firstLineChars="200"/>
        <w:jc w:val="both"/>
        <w:rPr>
          <w:rFonts w:ascii="仿宋_GB2312" w:hAnsi="仿宋_GB2312" w:cs="仿宋_GB2312"/>
          <w:color w:val="000000"/>
          <w:kern w:val="0"/>
          <w:szCs w:val="32"/>
        </w:rPr>
      </w:pPr>
      <w:r>
        <w:rPr>
          <w:rFonts w:hint="eastAsia"/>
          <w:snapToGrid w:val="0"/>
          <w:color w:val="000000"/>
          <w:kern w:val="0"/>
          <w:szCs w:val="32"/>
        </w:rPr>
        <w:t>同时，</w:t>
      </w:r>
      <w:r>
        <w:rPr>
          <w:snapToGrid w:val="0"/>
          <w:color w:val="000000"/>
          <w:kern w:val="0"/>
          <w:szCs w:val="32"/>
        </w:rPr>
        <w:t>构成教学差错或教学事故的，</w:t>
      </w:r>
      <w:r>
        <w:rPr>
          <w:rFonts w:hint="eastAsia"/>
          <w:snapToGrid w:val="0"/>
          <w:color w:val="000000"/>
          <w:kern w:val="0"/>
          <w:szCs w:val="32"/>
        </w:rPr>
        <w:t>依照</w:t>
      </w:r>
      <w:r>
        <w:rPr>
          <w:snapToGrid w:val="0"/>
          <w:color w:val="000000"/>
          <w:kern w:val="0"/>
          <w:szCs w:val="32"/>
        </w:rPr>
        <w:t>《</w:t>
      </w:r>
      <w:r>
        <w:rPr>
          <w:rFonts w:hint="eastAsia"/>
          <w:snapToGrid w:val="0"/>
          <w:color w:val="000000"/>
          <w:kern w:val="0"/>
          <w:szCs w:val="32"/>
        </w:rPr>
        <w:t>中山大学教师本科教学工作</w:t>
      </w:r>
      <w:r>
        <w:rPr>
          <w:snapToGrid w:val="0"/>
          <w:color w:val="000000"/>
          <w:kern w:val="0"/>
          <w:szCs w:val="32"/>
        </w:rPr>
        <w:t>规程》</w:t>
      </w:r>
      <w:r>
        <w:rPr>
          <w:rFonts w:hint="eastAsia"/>
          <w:snapToGrid w:val="0"/>
          <w:color w:val="000000"/>
          <w:kern w:val="0"/>
          <w:szCs w:val="32"/>
        </w:rPr>
        <w:t>作出</w:t>
      </w:r>
      <w:r>
        <w:rPr>
          <w:snapToGrid w:val="0"/>
          <w:color w:val="000000"/>
          <w:kern w:val="0"/>
          <w:szCs w:val="32"/>
        </w:rPr>
        <w:t>处理；</w:t>
      </w:r>
      <w:r>
        <w:rPr>
          <w:rFonts w:hint="eastAsia"/>
          <w:snapToGrid w:val="0"/>
          <w:color w:val="000000"/>
          <w:kern w:val="0"/>
          <w:szCs w:val="32"/>
        </w:rPr>
        <w:t>构成违纪的，由学校依照</w:t>
      </w:r>
      <w:r>
        <w:rPr>
          <w:rFonts w:hint="eastAsia" w:ascii="仿宋_GB2312" w:hAnsi="仿宋_GB2312" w:cs="仿宋_GB2312"/>
          <w:color w:val="000000"/>
          <w:kern w:val="0"/>
          <w:szCs w:val="32"/>
        </w:rPr>
        <w:t>《中国共产党纪律处分条例》、《事业单位人事管理条例》（国务院令第652号）等</w:t>
      </w:r>
      <w:r>
        <w:rPr>
          <w:rFonts w:hint="eastAsia"/>
          <w:snapToGrid w:val="0"/>
          <w:color w:val="000000"/>
          <w:kern w:val="0"/>
          <w:szCs w:val="32"/>
        </w:rPr>
        <w:t>有关党纪法规和学校规定作出处理；需要追究领导责任的，按照有关党纪法规和学校规定对有关部门、单位及其领导人员实行问责。</w:t>
      </w:r>
    </w:p>
    <w:p>
      <w:pPr>
        <w:spacing w:line="540" w:lineRule="exact"/>
        <w:jc w:val="both"/>
        <w:rPr>
          <w:rFonts w:ascii="黑体" w:hAnsi="黑体" w:eastAsia="黑体" w:cs="黑体"/>
          <w:bCs/>
          <w:color w:val="000000"/>
          <w:szCs w:val="32"/>
        </w:rPr>
      </w:pPr>
    </w:p>
    <w:p>
      <w:pPr>
        <w:spacing w:line="540" w:lineRule="exact"/>
        <w:jc w:val="center"/>
        <w:rPr>
          <w:rFonts w:ascii="黑体" w:hAnsi="黑体" w:eastAsia="黑体" w:cs="黑体"/>
          <w:bCs/>
          <w:color w:val="000000"/>
          <w:szCs w:val="32"/>
        </w:rPr>
      </w:pPr>
      <w:r>
        <w:rPr>
          <w:rFonts w:hint="eastAsia" w:ascii="黑体" w:hAnsi="黑体" w:eastAsia="黑体" w:cs="黑体"/>
          <w:bCs/>
          <w:color w:val="000000"/>
          <w:szCs w:val="32"/>
        </w:rPr>
        <w:t>第五章  附则</w:t>
      </w:r>
    </w:p>
    <w:p>
      <w:pPr>
        <w:spacing w:line="540" w:lineRule="exact"/>
        <w:ind w:firstLine="624" w:firstLineChars="200"/>
        <w:jc w:val="both"/>
        <w:rPr>
          <w:rFonts w:ascii="仿宋_GB2312" w:hAnsi="仿宋_GB2312" w:cs="仿宋_GB2312"/>
          <w:color w:val="000000"/>
          <w:szCs w:val="32"/>
        </w:rPr>
      </w:pPr>
      <w:r>
        <w:rPr>
          <w:rFonts w:hint="eastAsia" w:ascii="仿宋_GB2312" w:hAnsi="仿宋_GB2312" w:cs="仿宋_GB2312"/>
          <w:b/>
          <w:bCs/>
          <w:color w:val="000000"/>
          <w:szCs w:val="32"/>
        </w:rPr>
        <w:t>第二十条</w:t>
      </w:r>
      <w:r>
        <w:rPr>
          <w:rFonts w:hint="eastAsia" w:ascii="仿宋_GB2312" w:hAnsi="仿宋_GB2312" w:cs="仿宋_GB2312"/>
          <w:color w:val="000000"/>
          <w:szCs w:val="32"/>
        </w:rPr>
        <w:t xml:space="preserve"> 本细则由中山大学教务部负责解释。</w:t>
      </w:r>
    </w:p>
    <w:p>
      <w:pPr>
        <w:spacing w:line="540" w:lineRule="exact"/>
        <w:ind w:firstLine="624" w:firstLineChars="200"/>
        <w:jc w:val="both"/>
        <w:rPr>
          <w:rFonts w:ascii="仿宋_GB2312" w:hAnsi="仿宋_GB2312" w:cs="仿宋_GB2312"/>
          <w:szCs w:val="32"/>
        </w:rPr>
      </w:pPr>
      <w:r>
        <w:rPr>
          <w:rFonts w:hint="eastAsia" w:ascii="仿宋_GB2312" w:hAnsi="仿宋_GB2312" w:cs="仿宋_GB2312"/>
          <w:b/>
          <w:bCs/>
          <w:color w:val="000000"/>
          <w:szCs w:val="32"/>
        </w:rPr>
        <w:t>第二十一条</w:t>
      </w:r>
      <w:r>
        <w:rPr>
          <w:rFonts w:hint="eastAsia" w:ascii="仿宋_GB2312" w:hAnsi="仿宋_GB2312" w:cs="仿宋_GB2312"/>
          <w:color w:val="000000"/>
          <w:szCs w:val="32"/>
        </w:rPr>
        <w:t xml:space="preserve"> </w:t>
      </w:r>
      <w:r>
        <w:rPr>
          <w:rFonts w:hint="eastAsia" w:ascii="仿宋_GB2312" w:hAnsi="仿宋_GB2312" w:cs="仿宋_GB2312"/>
          <w:szCs w:val="32"/>
        </w:rPr>
        <w:t>本</w:t>
      </w:r>
      <w:r>
        <w:rPr>
          <w:rFonts w:hint="eastAsia" w:ascii="仿宋_GB2312" w:hAnsi="仿宋_GB2312" w:cs="仿宋_GB2312"/>
          <w:color w:val="000000"/>
          <w:szCs w:val="32"/>
        </w:rPr>
        <w:t>细则</w:t>
      </w:r>
      <w:r>
        <w:rPr>
          <w:rFonts w:hint="eastAsia" w:ascii="仿宋_GB2312" w:hAnsi="仿宋_GB2312" w:cs="仿宋_GB2312"/>
          <w:szCs w:val="32"/>
        </w:rPr>
        <w:t>自发布之日起施行。</w:t>
      </w:r>
    </w:p>
    <w:sectPr>
      <w:footerReference r:id="rId5" w:type="default"/>
      <w:footerReference r:id="rId6" w:type="even"/>
      <w:footnotePr>
        <w:numFmt w:val="decimalEnclosedCircleChinese"/>
        <w:numRestart w:val="eachPage"/>
      </w:footnotePr>
      <w:pgSz w:w="11906" w:h="16838"/>
      <w:pgMar w:top="2098" w:right="1588" w:bottom="1758" w:left="1588" w:header="851" w:footer="1417" w:gutter="0"/>
      <w:cols w:space="425" w:num="1" w:sep="1"/>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2A33416-1F05-4731-8583-D965FCC0ACEB}"/>
  </w:font>
  <w:font w:name="Arial">
    <w:panose1 w:val="020B0604020202020204"/>
    <w:charset w:val="01"/>
    <w:family w:val="swiss"/>
    <w:pitch w:val="default"/>
    <w:sig w:usb0="E0002AFF" w:usb1="C0007843" w:usb2="00000009" w:usb3="00000000" w:csb0="400001FF" w:csb1="FFFF0000"/>
    <w:embedRegular r:id="rId2" w:fontKey="{4EB16B91-CCF7-4650-B202-CE8EE0205DEC}"/>
  </w:font>
  <w:font w:name="黑体">
    <w:panose1 w:val="02010609060101010101"/>
    <w:charset w:val="86"/>
    <w:family w:val="auto"/>
    <w:pitch w:val="default"/>
    <w:sig w:usb0="800002BF" w:usb1="38CF7CFA" w:usb2="00000016" w:usb3="00000000" w:csb0="00040001" w:csb1="00000000"/>
    <w:embedRegular r:id="rId3" w:fontKey="{61A0FE22-D279-4E2F-9D67-88FCABE87476}"/>
  </w:font>
  <w:font w:name="Courier New">
    <w:panose1 w:val="02070309020205020404"/>
    <w:charset w:val="01"/>
    <w:family w:val="modern"/>
    <w:pitch w:val="default"/>
    <w:sig w:usb0="E0002AFF" w:usb1="C0007843" w:usb2="00000009" w:usb3="00000000" w:csb0="400001FF" w:csb1="FFFF0000"/>
    <w:embedRegular r:id="rId4" w:fontKey="{F077D16C-DE6D-4872-B612-00AA8F4F2094}"/>
  </w:font>
  <w:font w:name="Symbol">
    <w:panose1 w:val="05050102010706020507"/>
    <w:charset w:val="02"/>
    <w:family w:val="roman"/>
    <w:pitch w:val="default"/>
    <w:sig w:usb0="00000000" w:usb1="00000000" w:usb2="00000000" w:usb3="00000000" w:csb0="80000000" w:csb1="00000000"/>
    <w:embedRegular r:id="rId5" w:fontKey="{03DAAEF7-DD78-429E-B03C-6F6A9319156B}"/>
  </w:font>
  <w:font w:name="Calibri">
    <w:panose1 w:val="020F0502020204030204"/>
    <w:charset w:val="00"/>
    <w:family w:val="swiss"/>
    <w:pitch w:val="default"/>
    <w:sig w:usb0="E00002FF" w:usb1="4000ACFF" w:usb2="00000001" w:usb3="00000000" w:csb0="2000019F" w:csb1="00000000"/>
    <w:embedRegular r:id="rId6" w:fontKey="{5FABCC04-0A5F-4EA7-BE33-8788075754E8}"/>
  </w:font>
  <w:font w:name="仿宋_GB2312">
    <w:panose1 w:val="02010609030101010101"/>
    <w:charset w:val="86"/>
    <w:family w:val="modern"/>
    <w:pitch w:val="default"/>
    <w:sig w:usb0="00000001" w:usb1="080E0000" w:usb2="00000000" w:usb3="00000000" w:csb0="00040000" w:csb1="00000000"/>
    <w:embedRegular r:id="rId7" w:fontKey="{4379DD82-2FA3-4B2A-B5F1-9B6C41F8764D}"/>
  </w:font>
  <w:font w:name="方正小标宋简体">
    <w:panose1 w:val="02010601030101010101"/>
    <w:charset w:val="86"/>
    <w:family w:val="auto"/>
    <w:pitch w:val="default"/>
    <w:sig w:usb0="00000001" w:usb1="080E0000" w:usb2="00000000" w:usb3="00000000" w:csb0="00040000" w:csb1="00000000"/>
    <w:embedRegular r:id="rId8" w:fontKey="{FF5C5D3E-9EDE-4440-9C6E-0767F84BAEBE}"/>
  </w:font>
  <w:font w:name="楷体_GB2312">
    <w:panose1 w:val="02010609030101010101"/>
    <w:charset w:val="86"/>
    <w:family w:val="auto"/>
    <w:pitch w:val="default"/>
    <w:sig w:usb0="00000001" w:usb1="080E0000" w:usb2="00000000" w:usb3="00000000" w:csb0="00040000" w:csb1="00000000"/>
    <w:embedRegular r:id="rId9" w:fontKey="{84408A7C-3E09-41E7-9361-E4AA5913EF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2959797"/>
      <w:docPartObj>
        <w:docPartGallery w:val="autotext"/>
      </w:docPartObj>
    </w:sdtPr>
    <w:sdtEndPr>
      <w:rPr>
        <w:rFonts w:ascii="Times New Roman" w:hAnsi="Times New Roman" w:cs="Times New Roman"/>
        <w:sz w:val="28"/>
        <w:szCs w:val="28"/>
      </w:rPr>
    </w:sdtEndPr>
    <w:sdtContent>
      <w:p>
        <w:pPr>
          <w:pStyle w:val="6"/>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5082214"/>
      <w:docPartObj>
        <w:docPartGallery w:val="autotext"/>
      </w:docPartObj>
    </w:sdtPr>
    <w:sdtEndPr>
      <w:rPr>
        <w:rFonts w:ascii="Times New Roman" w:hAnsi="Times New Roman" w:cs="Times New Roman"/>
        <w:sz w:val="28"/>
        <w:szCs w:val="28"/>
      </w:rPr>
    </w:sdtEndPr>
    <w:sdtContent>
      <w:p>
        <w:pPr>
          <w:pStyle w:val="6"/>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0F7"/>
    <w:rsid w:val="000013F9"/>
    <w:rsid w:val="00030B15"/>
    <w:rsid w:val="00035283"/>
    <w:rsid w:val="000401BC"/>
    <w:rsid w:val="00043F61"/>
    <w:rsid w:val="0004475B"/>
    <w:rsid w:val="0004517C"/>
    <w:rsid w:val="00047AA4"/>
    <w:rsid w:val="00052D78"/>
    <w:rsid w:val="00055D6E"/>
    <w:rsid w:val="00065E8A"/>
    <w:rsid w:val="0006611A"/>
    <w:rsid w:val="0006622B"/>
    <w:rsid w:val="00067B59"/>
    <w:rsid w:val="00070E5E"/>
    <w:rsid w:val="00076122"/>
    <w:rsid w:val="00080E67"/>
    <w:rsid w:val="000836D1"/>
    <w:rsid w:val="000B0B6B"/>
    <w:rsid w:val="000B14A9"/>
    <w:rsid w:val="000B3AA5"/>
    <w:rsid w:val="000B7B3E"/>
    <w:rsid w:val="000C18D2"/>
    <w:rsid w:val="000D2F95"/>
    <w:rsid w:val="000D6A64"/>
    <w:rsid w:val="000E11BA"/>
    <w:rsid w:val="000E3BC9"/>
    <w:rsid w:val="000E7208"/>
    <w:rsid w:val="001001BF"/>
    <w:rsid w:val="00102D0A"/>
    <w:rsid w:val="00111158"/>
    <w:rsid w:val="00116ED7"/>
    <w:rsid w:val="0012117A"/>
    <w:rsid w:val="0013054A"/>
    <w:rsid w:val="00137BA5"/>
    <w:rsid w:val="00137DEA"/>
    <w:rsid w:val="00143D3F"/>
    <w:rsid w:val="0015310D"/>
    <w:rsid w:val="00153A7E"/>
    <w:rsid w:val="00162401"/>
    <w:rsid w:val="00165389"/>
    <w:rsid w:val="001664B8"/>
    <w:rsid w:val="0016714A"/>
    <w:rsid w:val="00170440"/>
    <w:rsid w:val="00180691"/>
    <w:rsid w:val="001835AA"/>
    <w:rsid w:val="00192A77"/>
    <w:rsid w:val="00194227"/>
    <w:rsid w:val="001953FD"/>
    <w:rsid w:val="0019690B"/>
    <w:rsid w:val="001A15AC"/>
    <w:rsid w:val="001A4D7B"/>
    <w:rsid w:val="001B2074"/>
    <w:rsid w:val="001B26CC"/>
    <w:rsid w:val="001C4193"/>
    <w:rsid w:val="001C6C10"/>
    <w:rsid w:val="001F257A"/>
    <w:rsid w:val="001F3603"/>
    <w:rsid w:val="001F40F7"/>
    <w:rsid w:val="001F691A"/>
    <w:rsid w:val="00204C5F"/>
    <w:rsid w:val="002071B8"/>
    <w:rsid w:val="002118C5"/>
    <w:rsid w:val="00216360"/>
    <w:rsid w:val="0022192B"/>
    <w:rsid w:val="00221B66"/>
    <w:rsid w:val="002336DF"/>
    <w:rsid w:val="00237F7C"/>
    <w:rsid w:val="002425C7"/>
    <w:rsid w:val="00246A0A"/>
    <w:rsid w:val="002512F8"/>
    <w:rsid w:val="00251D5E"/>
    <w:rsid w:val="0025343D"/>
    <w:rsid w:val="00255631"/>
    <w:rsid w:val="00261EB5"/>
    <w:rsid w:val="00262190"/>
    <w:rsid w:val="00262F8B"/>
    <w:rsid w:val="00265CBA"/>
    <w:rsid w:val="002713DA"/>
    <w:rsid w:val="00274AD2"/>
    <w:rsid w:val="00280522"/>
    <w:rsid w:val="002857B5"/>
    <w:rsid w:val="002903C5"/>
    <w:rsid w:val="002B1B32"/>
    <w:rsid w:val="002B420A"/>
    <w:rsid w:val="002D2105"/>
    <w:rsid w:val="002D646A"/>
    <w:rsid w:val="002E2A09"/>
    <w:rsid w:val="002E61B2"/>
    <w:rsid w:val="002F0783"/>
    <w:rsid w:val="00300CB5"/>
    <w:rsid w:val="0030202D"/>
    <w:rsid w:val="00302753"/>
    <w:rsid w:val="00310A7F"/>
    <w:rsid w:val="00314E0F"/>
    <w:rsid w:val="00317A4C"/>
    <w:rsid w:val="00321E8A"/>
    <w:rsid w:val="00321F66"/>
    <w:rsid w:val="0032427B"/>
    <w:rsid w:val="00326EEF"/>
    <w:rsid w:val="00327E07"/>
    <w:rsid w:val="00330A72"/>
    <w:rsid w:val="00333699"/>
    <w:rsid w:val="003508A2"/>
    <w:rsid w:val="003539FC"/>
    <w:rsid w:val="00365AC0"/>
    <w:rsid w:val="003667C6"/>
    <w:rsid w:val="003703C0"/>
    <w:rsid w:val="00384988"/>
    <w:rsid w:val="00387133"/>
    <w:rsid w:val="003A1ED7"/>
    <w:rsid w:val="003A3701"/>
    <w:rsid w:val="003B2438"/>
    <w:rsid w:val="003C3422"/>
    <w:rsid w:val="003C4BE5"/>
    <w:rsid w:val="003C796A"/>
    <w:rsid w:val="003D09BB"/>
    <w:rsid w:val="003D1B2B"/>
    <w:rsid w:val="003D2FE4"/>
    <w:rsid w:val="003D4369"/>
    <w:rsid w:val="003D450E"/>
    <w:rsid w:val="003D5D26"/>
    <w:rsid w:val="003F4506"/>
    <w:rsid w:val="00402970"/>
    <w:rsid w:val="00406824"/>
    <w:rsid w:val="004110C6"/>
    <w:rsid w:val="00414632"/>
    <w:rsid w:val="00420221"/>
    <w:rsid w:val="0042215B"/>
    <w:rsid w:val="00426891"/>
    <w:rsid w:val="00427492"/>
    <w:rsid w:val="00434B62"/>
    <w:rsid w:val="00442F8D"/>
    <w:rsid w:val="00443B24"/>
    <w:rsid w:val="00445496"/>
    <w:rsid w:val="004459C9"/>
    <w:rsid w:val="004547EE"/>
    <w:rsid w:val="00455838"/>
    <w:rsid w:val="00465033"/>
    <w:rsid w:val="0046789A"/>
    <w:rsid w:val="00467FBE"/>
    <w:rsid w:val="00470269"/>
    <w:rsid w:val="00477B7E"/>
    <w:rsid w:val="00480885"/>
    <w:rsid w:val="004821DE"/>
    <w:rsid w:val="00482D75"/>
    <w:rsid w:val="0048384B"/>
    <w:rsid w:val="00484FE5"/>
    <w:rsid w:val="00492683"/>
    <w:rsid w:val="004926AD"/>
    <w:rsid w:val="004A5D64"/>
    <w:rsid w:val="004B35C2"/>
    <w:rsid w:val="004B445A"/>
    <w:rsid w:val="004B6FCD"/>
    <w:rsid w:val="004B767E"/>
    <w:rsid w:val="004B7BD8"/>
    <w:rsid w:val="004C5FBC"/>
    <w:rsid w:val="004D39E9"/>
    <w:rsid w:val="004D5A01"/>
    <w:rsid w:val="004E6CB1"/>
    <w:rsid w:val="004F18C7"/>
    <w:rsid w:val="00502B8B"/>
    <w:rsid w:val="00502C7A"/>
    <w:rsid w:val="0050760E"/>
    <w:rsid w:val="00514271"/>
    <w:rsid w:val="005150A9"/>
    <w:rsid w:val="005333AB"/>
    <w:rsid w:val="0053612E"/>
    <w:rsid w:val="00541BF7"/>
    <w:rsid w:val="00545857"/>
    <w:rsid w:val="005470C9"/>
    <w:rsid w:val="005529F6"/>
    <w:rsid w:val="00560B97"/>
    <w:rsid w:val="00565909"/>
    <w:rsid w:val="00566509"/>
    <w:rsid w:val="00567103"/>
    <w:rsid w:val="00572F00"/>
    <w:rsid w:val="00583101"/>
    <w:rsid w:val="00596817"/>
    <w:rsid w:val="005A02CB"/>
    <w:rsid w:val="005A4D01"/>
    <w:rsid w:val="005B2E63"/>
    <w:rsid w:val="005B399E"/>
    <w:rsid w:val="005C1350"/>
    <w:rsid w:val="005C544A"/>
    <w:rsid w:val="005D2B72"/>
    <w:rsid w:val="005D39AC"/>
    <w:rsid w:val="005D3A35"/>
    <w:rsid w:val="005E06C3"/>
    <w:rsid w:val="005E0B24"/>
    <w:rsid w:val="005E718E"/>
    <w:rsid w:val="005F4816"/>
    <w:rsid w:val="0060236C"/>
    <w:rsid w:val="00612A74"/>
    <w:rsid w:val="00630579"/>
    <w:rsid w:val="00633F67"/>
    <w:rsid w:val="00661207"/>
    <w:rsid w:val="0066256D"/>
    <w:rsid w:val="00662B53"/>
    <w:rsid w:val="006654F0"/>
    <w:rsid w:val="0066783A"/>
    <w:rsid w:val="00672858"/>
    <w:rsid w:val="006738F1"/>
    <w:rsid w:val="00673AA7"/>
    <w:rsid w:val="00680E17"/>
    <w:rsid w:val="006A7D75"/>
    <w:rsid w:val="006C0624"/>
    <w:rsid w:val="006C460D"/>
    <w:rsid w:val="006D19CB"/>
    <w:rsid w:val="006D20A1"/>
    <w:rsid w:val="006E2841"/>
    <w:rsid w:val="006E4BF7"/>
    <w:rsid w:val="006E5DA8"/>
    <w:rsid w:val="006E62FA"/>
    <w:rsid w:val="00702676"/>
    <w:rsid w:val="007061E6"/>
    <w:rsid w:val="00706FD0"/>
    <w:rsid w:val="00707174"/>
    <w:rsid w:val="007210FD"/>
    <w:rsid w:val="007451B2"/>
    <w:rsid w:val="00745D45"/>
    <w:rsid w:val="0075514B"/>
    <w:rsid w:val="007645F9"/>
    <w:rsid w:val="0076625F"/>
    <w:rsid w:val="007862B3"/>
    <w:rsid w:val="007878EE"/>
    <w:rsid w:val="00792452"/>
    <w:rsid w:val="007933BF"/>
    <w:rsid w:val="00797450"/>
    <w:rsid w:val="007A19C6"/>
    <w:rsid w:val="007A2E05"/>
    <w:rsid w:val="007A5318"/>
    <w:rsid w:val="007A6C95"/>
    <w:rsid w:val="007B3A46"/>
    <w:rsid w:val="007B4F31"/>
    <w:rsid w:val="007B5908"/>
    <w:rsid w:val="007B6727"/>
    <w:rsid w:val="007C097A"/>
    <w:rsid w:val="007C31B7"/>
    <w:rsid w:val="007D2BC8"/>
    <w:rsid w:val="007D337A"/>
    <w:rsid w:val="007E4D96"/>
    <w:rsid w:val="007F1A60"/>
    <w:rsid w:val="007F5156"/>
    <w:rsid w:val="007F53D4"/>
    <w:rsid w:val="007F59D9"/>
    <w:rsid w:val="007F6694"/>
    <w:rsid w:val="007F66A6"/>
    <w:rsid w:val="00800D83"/>
    <w:rsid w:val="00804414"/>
    <w:rsid w:val="00804651"/>
    <w:rsid w:val="00811A4E"/>
    <w:rsid w:val="00812A08"/>
    <w:rsid w:val="008133EF"/>
    <w:rsid w:val="00824E00"/>
    <w:rsid w:val="00827E55"/>
    <w:rsid w:val="00835D63"/>
    <w:rsid w:val="00845F63"/>
    <w:rsid w:val="0085406F"/>
    <w:rsid w:val="00854F49"/>
    <w:rsid w:val="00855591"/>
    <w:rsid w:val="00855E17"/>
    <w:rsid w:val="00857147"/>
    <w:rsid w:val="008574D0"/>
    <w:rsid w:val="00862512"/>
    <w:rsid w:val="00863421"/>
    <w:rsid w:val="0086691F"/>
    <w:rsid w:val="008674F4"/>
    <w:rsid w:val="00875CBA"/>
    <w:rsid w:val="0087709B"/>
    <w:rsid w:val="00882434"/>
    <w:rsid w:val="00885C5E"/>
    <w:rsid w:val="00886AD2"/>
    <w:rsid w:val="00886BF3"/>
    <w:rsid w:val="008915B7"/>
    <w:rsid w:val="00896D12"/>
    <w:rsid w:val="008A46E7"/>
    <w:rsid w:val="008A57A9"/>
    <w:rsid w:val="008A7B50"/>
    <w:rsid w:val="008C6247"/>
    <w:rsid w:val="008D18F5"/>
    <w:rsid w:val="008D623B"/>
    <w:rsid w:val="008E743C"/>
    <w:rsid w:val="008F44B5"/>
    <w:rsid w:val="00900508"/>
    <w:rsid w:val="009007FF"/>
    <w:rsid w:val="00905B17"/>
    <w:rsid w:val="00906D9B"/>
    <w:rsid w:val="009106E6"/>
    <w:rsid w:val="00911B2D"/>
    <w:rsid w:val="00917E6A"/>
    <w:rsid w:val="00924669"/>
    <w:rsid w:val="009265FF"/>
    <w:rsid w:val="00942112"/>
    <w:rsid w:val="00942CCB"/>
    <w:rsid w:val="009458E3"/>
    <w:rsid w:val="00946DAA"/>
    <w:rsid w:val="00951A73"/>
    <w:rsid w:val="00961742"/>
    <w:rsid w:val="00965AB6"/>
    <w:rsid w:val="00966273"/>
    <w:rsid w:val="00971776"/>
    <w:rsid w:val="00976A42"/>
    <w:rsid w:val="00987EFD"/>
    <w:rsid w:val="009A5441"/>
    <w:rsid w:val="009B490E"/>
    <w:rsid w:val="009C5CB4"/>
    <w:rsid w:val="009C769F"/>
    <w:rsid w:val="009D050B"/>
    <w:rsid w:val="009D1349"/>
    <w:rsid w:val="009D44CE"/>
    <w:rsid w:val="009E1217"/>
    <w:rsid w:val="009E3801"/>
    <w:rsid w:val="00A021DB"/>
    <w:rsid w:val="00A0511F"/>
    <w:rsid w:val="00A059D7"/>
    <w:rsid w:val="00A14F7B"/>
    <w:rsid w:val="00A25DC7"/>
    <w:rsid w:val="00A27A55"/>
    <w:rsid w:val="00A31183"/>
    <w:rsid w:val="00A43756"/>
    <w:rsid w:val="00A43BF2"/>
    <w:rsid w:val="00A44762"/>
    <w:rsid w:val="00A472D4"/>
    <w:rsid w:val="00A52E76"/>
    <w:rsid w:val="00A56074"/>
    <w:rsid w:val="00A56A1A"/>
    <w:rsid w:val="00A6065D"/>
    <w:rsid w:val="00A64785"/>
    <w:rsid w:val="00A667BB"/>
    <w:rsid w:val="00A67AF0"/>
    <w:rsid w:val="00A713D1"/>
    <w:rsid w:val="00A72919"/>
    <w:rsid w:val="00A72F8E"/>
    <w:rsid w:val="00A77B64"/>
    <w:rsid w:val="00A81E7C"/>
    <w:rsid w:val="00A915EA"/>
    <w:rsid w:val="00A94E8F"/>
    <w:rsid w:val="00AA7C54"/>
    <w:rsid w:val="00AB11B1"/>
    <w:rsid w:val="00AB63FC"/>
    <w:rsid w:val="00AB7102"/>
    <w:rsid w:val="00AC0B2E"/>
    <w:rsid w:val="00AC2772"/>
    <w:rsid w:val="00AC5E51"/>
    <w:rsid w:val="00AC6A3E"/>
    <w:rsid w:val="00AD2ACF"/>
    <w:rsid w:val="00AD39F5"/>
    <w:rsid w:val="00AE0E8C"/>
    <w:rsid w:val="00AF2D96"/>
    <w:rsid w:val="00AF7ADD"/>
    <w:rsid w:val="00B004DD"/>
    <w:rsid w:val="00B00D22"/>
    <w:rsid w:val="00B036BD"/>
    <w:rsid w:val="00B144E0"/>
    <w:rsid w:val="00B1657A"/>
    <w:rsid w:val="00B27CA7"/>
    <w:rsid w:val="00B3254C"/>
    <w:rsid w:val="00B33EDF"/>
    <w:rsid w:val="00B3402D"/>
    <w:rsid w:val="00B42107"/>
    <w:rsid w:val="00B450EC"/>
    <w:rsid w:val="00B459DC"/>
    <w:rsid w:val="00B55CED"/>
    <w:rsid w:val="00B61228"/>
    <w:rsid w:val="00B647F4"/>
    <w:rsid w:val="00B75174"/>
    <w:rsid w:val="00B82851"/>
    <w:rsid w:val="00B865C9"/>
    <w:rsid w:val="00B87F12"/>
    <w:rsid w:val="00B917B5"/>
    <w:rsid w:val="00B9730B"/>
    <w:rsid w:val="00BB690D"/>
    <w:rsid w:val="00BC1EED"/>
    <w:rsid w:val="00BD0D4A"/>
    <w:rsid w:val="00BE5E33"/>
    <w:rsid w:val="00BF399C"/>
    <w:rsid w:val="00BF7B90"/>
    <w:rsid w:val="00C01CF1"/>
    <w:rsid w:val="00C05DA8"/>
    <w:rsid w:val="00C143EB"/>
    <w:rsid w:val="00C17A79"/>
    <w:rsid w:val="00C20B4E"/>
    <w:rsid w:val="00C22164"/>
    <w:rsid w:val="00C23251"/>
    <w:rsid w:val="00C23C1D"/>
    <w:rsid w:val="00C2782D"/>
    <w:rsid w:val="00C30E21"/>
    <w:rsid w:val="00C41E99"/>
    <w:rsid w:val="00C53374"/>
    <w:rsid w:val="00C60AD9"/>
    <w:rsid w:val="00C71999"/>
    <w:rsid w:val="00C71ED3"/>
    <w:rsid w:val="00C728C2"/>
    <w:rsid w:val="00CA0642"/>
    <w:rsid w:val="00CA3DBE"/>
    <w:rsid w:val="00CB3D37"/>
    <w:rsid w:val="00CC0165"/>
    <w:rsid w:val="00CC257D"/>
    <w:rsid w:val="00CC38AB"/>
    <w:rsid w:val="00CC443F"/>
    <w:rsid w:val="00CD0B73"/>
    <w:rsid w:val="00CE1FCA"/>
    <w:rsid w:val="00CE6BD2"/>
    <w:rsid w:val="00CF0BB3"/>
    <w:rsid w:val="00D0318A"/>
    <w:rsid w:val="00D12D05"/>
    <w:rsid w:val="00D2291D"/>
    <w:rsid w:val="00D270BE"/>
    <w:rsid w:val="00D27289"/>
    <w:rsid w:val="00D3354F"/>
    <w:rsid w:val="00D37A13"/>
    <w:rsid w:val="00D404B2"/>
    <w:rsid w:val="00D44E23"/>
    <w:rsid w:val="00D46547"/>
    <w:rsid w:val="00D51EB7"/>
    <w:rsid w:val="00D65E9F"/>
    <w:rsid w:val="00D7136B"/>
    <w:rsid w:val="00D84D27"/>
    <w:rsid w:val="00D9127E"/>
    <w:rsid w:val="00D9405D"/>
    <w:rsid w:val="00DA2D0F"/>
    <w:rsid w:val="00DB493F"/>
    <w:rsid w:val="00DD0D46"/>
    <w:rsid w:val="00DD29A6"/>
    <w:rsid w:val="00DD71E3"/>
    <w:rsid w:val="00DE1946"/>
    <w:rsid w:val="00DE36D6"/>
    <w:rsid w:val="00DE6E97"/>
    <w:rsid w:val="00DF07D8"/>
    <w:rsid w:val="00DF149D"/>
    <w:rsid w:val="00DF4B66"/>
    <w:rsid w:val="00E0256C"/>
    <w:rsid w:val="00E04624"/>
    <w:rsid w:val="00E05D5E"/>
    <w:rsid w:val="00E21AA9"/>
    <w:rsid w:val="00E24535"/>
    <w:rsid w:val="00E25E56"/>
    <w:rsid w:val="00E26D37"/>
    <w:rsid w:val="00E27B9C"/>
    <w:rsid w:val="00E34E53"/>
    <w:rsid w:val="00E47A39"/>
    <w:rsid w:val="00E546B9"/>
    <w:rsid w:val="00E6453C"/>
    <w:rsid w:val="00E761DB"/>
    <w:rsid w:val="00E81587"/>
    <w:rsid w:val="00E81AF6"/>
    <w:rsid w:val="00E85A0E"/>
    <w:rsid w:val="00E877E1"/>
    <w:rsid w:val="00E90DDA"/>
    <w:rsid w:val="00E936C7"/>
    <w:rsid w:val="00E93D86"/>
    <w:rsid w:val="00EB3999"/>
    <w:rsid w:val="00EB4932"/>
    <w:rsid w:val="00EB680F"/>
    <w:rsid w:val="00EC2023"/>
    <w:rsid w:val="00EC7275"/>
    <w:rsid w:val="00ED2F6C"/>
    <w:rsid w:val="00ED43D9"/>
    <w:rsid w:val="00ED5B77"/>
    <w:rsid w:val="00EF0F70"/>
    <w:rsid w:val="00EF712D"/>
    <w:rsid w:val="00EF771D"/>
    <w:rsid w:val="00F02C71"/>
    <w:rsid w:val="00F107F1"/>
    <w:rsid w:val="00F10BD3"/>
    <w:rsid w:val="00F2320D"/>
    <w:rsid w:val="00F23E64"/>
    <w:rsid w:val="00F27225"/>
    <w:rsid w:val="00F31EF1"/>
    <w:rsid w:val="00F33553"/>
    <w:rsid w:val="00F34512"/>
    <w:rsid w:val="00F346A8"/>
    <w:rsid w:val="00F47EE3"/>
    <w:rsid w:val="00F52ABD"/>
    <w:rsid w:val="00F61696"/>
    <w:rsid w:val="00F8215D"/>
    <w:rsid w:val="00F85D26"/>
    <w:rsid w:val="00F875C0"/>
    <w:rsid w:val="00F902AA"/>
    <w:rsid w:val="00F943FF"/>
    <w:rsid w:val="00FD0270"/>
    <w:rsid w:val="00FD561B"/>
    <w:rsid w:val="00FD6737"/>
    <w:rsid w:val="00FE6225"/>
    <w:rsid w:val="00FF1E97"/>
    <w:rsid w:val="00FF506D"/>
    <w:rsid w:val="00FF72A1"/>
    <w:rsid w:val="00FF79B1"/>
    <w:rsid w:val="04CF78A0"/>
    <w:rsid w:val="19CA1BF5"/>
    <w:rsid w:val="70613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w:basedOn w:val="1"/>
    <w:link w:val="17"/>
    <w:uiPriority w:val="99"/>
    <w:pPr>
      <w:spacing w:line="500" w:lineRule="atLeast"/>
    </w:pPr>
    <w:rPr>
      <w:rFonts w:ascii="宋体"/>
      <w:bCs/>
      <w:sz w:val="28"/>
    </w:rPr>
  </w:style>
  <w:style w:type="paragraph" w:styleId="3">
    <w:name w:val="Body Text Indent"/>
    <w:basedOn w:val="1"/>
    <w:link w:val="16"/>
    <w:qFormat/>
    <w:uiPriority w:val="0"/>
    <w:pPr>
      <w:spacing w:line="460" w:lineRule="atLeast"/>
      <w:ind w:firstLine="461" w:firstLineChars="192"/>
    </w:pPr>
    <w:rPr>
      <w:sz w:val="24"/>
    </w:rPr>
  </w:style>
  <w:style w:type="paragraph" w:styleId="4">
    <w:name w:val="Date"/>
    <w:basedOn w:val="1"/>
    <w:next w:val="1"/>
    <w:link w:val="20"/>
    <w:semiHidden/>
    <w:unhideWhenUsed/>
    <w:uiPriority w:val="99"/>
    <w:pPr>
      <w:ind w:left="100" w:leftChars="2500"/>
    </w:p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pPr>
    <w:rPr>
      <w:rFonts w:asciiTheme="minorHAnsi" w:hAnsiTheme="minorHAnsi" w:eastAsiaTheme="minorEastAsia"/>
      <w:sz w:val="18"/>
      <w:szCs w:val="18"/>
    </w:rPr>
  </w:style>
  <w:style w:type="paragraph" w:styleId="7">
    <w:name w:val="header"/>
    <w:basedOn w:val="1"/>
    <w:link w:val="14"/>
    <w:unhideWhenUsed/>
    <w:qFormat/>
    <w:uiPriority w:val="99"/>
    <w:pPr>
      <w:tabs>
        <w:tab w:val="center" w:pos="4153"/>
        <w:tab w:val="right" w:pos="8306"/>
      </w:tabs>
      <w:jc w:val="center"/>
    </w:pPr>
    <w:rPr>
      <w:rFonts w:asciiTheme="minorHAnsi" w:hAnsiTheme="minorHAnsi" w:eastAsiaTheme="minorEastAsia"/>
      <w:sz w:val="18"/>
      <w:szCs w:val="18"/>
    </w:rPr>
  </w:style>
  <w:style w:type="paragraph" w:styleId="8">
    <w:name w:val="Normal (Web)"/>
    <w:basedOn w:val="1"/>
    <w:semiHidden/>
    <w:unhideWhenUsed/>
    <w:qFormat/>
    <w:uiPriority w:val="99"/>
    <w:pPr>
      <w:widowControl/>
      <w:adjustRightInd/>
      <w:snapToGrid/>
      <w:spacing w:before="100" w:beforeAutospacing="1" w:after="100" w:afterAutospacing="1" w:line="240" w:lineRule="auto"/>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line number"/>
    <w:basedOn w:val="10"/>
    <w:semiHidden/>
    <w:unhideWhenUsed/>
    <w:qFormat/>
    <w:uiPriority w:val="99"/>
  </w:style>
  <w:style w:type="character" w:styleId="13">
    <w:name w:val="Hyperlink"/>
    <w:basedOn w:val="10"/>
    <w:unhideWhenUsed/>
    <w:qFormat/>
    <w:uiPriority w:val="99"/>
    <w:rPr>
      <w:color w:val="0000FF" w:themeColor="hyperlink"/>
      <w:u w:val="single"/>
      <w14:textFill>
        <w14:solidFill>
          <w14:schemeClr w14:val="hlink"/>
        </w14:solidFill>
      </w14:textFill>
    </w:rPr>
  </w:style>
  <w:style w:type="character" w:customStyle="1" w:styleId="14">
    <w:name w:val="页眉 字符"/>
    <w:basedOn w:val="10"/>
    <w:link w:val="7"/>
    <w:qFormat/>
    <w:uiPriority w:val="99"/>
    <w:rPr>
      <w:sz w:val="18"/>
      <w:szCs w:val="18"/>
    </w:rPr>
  </w:style>
  <w:style w:type="character" w:customStyle="1" w:styleId="15">
    <w:name w:val="页脚 字符"/>
    <w:basedOn w:val="10"/>
    <w:link w:val="6"/>
    <w:qFormat/>
    <w:uiPriority w:val="99"/>
    <w:rPr>
      <w:sz w:val="18"/>
      <w:szCs w:val="18"/>
    </w:rPr>
  </w:style>
  <w:style w:type="character" w:customStyle="1" w:styleId="16">
    <w:name w:val="正文文本缩进 字符"/>
    <w:basedOn w:val="10"/>
    <w:link w:val="3"/>
    <w:qFormat/>
    <w:uiPriority w:val="0"/>
    <w:rPr>
      <w:rFonts w:ascii="Times New Roman" w:hAnsi="Times New Roman" w:eastAsia="宋体" w:cs="Times New Roman"/>
      <w:sz w:val="24"/>
      <w:szCs w:val="24"/>
    </w:rPr>
  </w:style>
  <w:style w:type="character" w:customStyle="1" w:styleId="17">
    <w:name w:val="正文文本 字符"/>
    <w:basedOn w:val="10"/>
    <w:link w:val="2"/>
    <w:qFormat/>
    <w:uiPriority w:val="0"/>
    <w:rPr>
      <w:rFonts w:ascii="宋体" w:hAnsi="Times New Roman" w:eastAsia="宋体" w:cs="Times New Roman"/>
      <w:bCs/>
      <w:sz w:val="28"/>
      <w:szCs w:val="24"/>
    </w:rPr>
  </w:style>
  <w:style w:type="character" w:customStyle="1" w:styleId="18">
    <w:name w:val="批注框文本 字符"/>
    <w:basedOn w:val="10"/>
    <w:link w:val="5"/>
    <w:semiHidden/>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style>
  <w:style w:type="character" w:customStyle="1" w:styleId="20">
    <w:name w:val="日期 字符"/>
    <w:basedOn w:val="10"/>
    <w:link w:val="4"/>
    <w:semiHidden/>
    <w:qFormat/>
    <w:uiPriority w:val="99"/>
    <w:rPr>
      <w:rFonts w:ascii="Times New Roman" w:hAnsi="Times New Roman" w:eastAsia="仿宋_GB2312"/>
      <w:sz w:val="32"/>
    </w:rPr>
  </w:style>
  <w:style w:type="paragraph" w:customStyle="1" w:styleId="21">
    <w:name w:val="western"/>
    <w:basedOn w:val="1"/>
    <w:qFormat/>
    <w:uiPriority w:val="0"/>
    <w:pPr>
      <w:widowControl/>
      <w:adjustRightInd/>
      <w:snapToGrid/>
      <w:spacing w:before="100" w:beforeAutospacing="1" w:after="100" w:afterAutospacing="1" w:line="240" w:lineRule="auto"/>
    </w:pPr>
    <w:rPr>
      <w:rFonts w:ascii="宋体" w:hAnsi="宋体" w:eastAsia="宋体" w:cs="宋体"/>
      <w:kern w:val="0"/>
      <w:sz w:val="24"/>
      <w:szCs w:val="24"/>
    </w:rPr>
  </w:style>
  <w:style w:type="character" w:customStyle="1" w:styleId="22">
    <w:name w:val="apple-converted-space"/>
    <w:basedOn w:val="10"/>
    <w:qFormat/>
    <w:uiPriority w:val="0"/>
  </w:style>
  <w:style w:type="paragraph" w:customStyle="1" w:styleId="23">
    <w:name w:val="rtecenter"/>
    <w:basedOn w:val="1"/>
    <w:qFormat/>
    <w:uiPriority w:val="0"/>
    <w:pPr>
      <w:widowControl/>
      <w:adjustRightInd/>
      <w:snapToGrid/>
      <w:spacing w:line="240" w:lineRule="auto"/>
      <w:jc w:val="center"/>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C\Downloads\&#20013;&#23665;&#22823;&#23398;&#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57F369-1984-4B3B-A25B-542E745A9D29}">
  <ds:schemaRefs/>
</ds:datastoreItem>
</file>

<file path=docProps/app.xml><?xml version="1.0" encoding="utf-8"?>
<Properties xmlns="http://schemas.openxmlformats.org/officeDocument/2006/extended-properties" xmlns:vt="http://schemas.openxmlformats.org/officeDocument/2006/docPropsVTypes">
  <Template>中山大学模板</Template>
  <Company>SYSU</Company>
  <Pages>7</Pages>
  <Words>490</Words>
  <Characters>2797</Characters>
  <Lines>23</Lines>
  <Paragraphs>6</Paragraphs>
  <TotalTime>13</TotalTime>
  <ScaleCrop>false</ScaleCrop>
  <LinksUpToDate>false</LinksUpToDate>
  <CharactersWithSpaces>3281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2021-04-25T04:17:00Z</dcterms:created>
  <dc:creator>Lenovo</dc:creator>
  <cp:lastModifiedBy>哲岩</cp:lastModifiedBy>
  <cp:lastPrinted>2018-05-03T08:06:00Z</cp:lastPrinted>
  <dcterms:modified xsi:type="dcterms:W3CDTF">2021-04-30T01:31:55Z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FDADC275B116465AA7ECEA5E10974069</vt:lpwstr>
  </property>
</Properties>
</file>